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charts/chart1.xml" ContentType="application/vnd.openxmlformats-officedocument.drawingml.chart+xml"/>
  <Override PartName="/word/charts/chart2.xml" ContentType="application/vnd.openxmlformats-officedocument.drawingml.chart+xml"/>
  <Override PartName="/word/charts/chart3.xml" ContentType="application/vnd.openxmlformats-officedocument.drawingml.chart+xml"/>
  <Override PartName="/word/charts/chart4.xml" ContentType="application/vnd.openxmlformats-officedocument.drawingml.chart+xml"/>
  <Override PartName="/word/charts/chart5.xml" ContentType="application/vnd.openxmlformats-officedocument.drawingml.chart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both"/>
        <w:rPr>
          <w:rFonts w:ascii="Calibri" w:hAnsi="Calibri" w:eastAsia="宋体" w:cs="Times New Roman"/>
          <w:b/>
          <w:spacing w:val="-6"/>
          <w:sz w:val="36"/>
          <w:szCs w:val="36"/>
        </w:rPr>
      </w:pPr>
    </w:p>
    <w:p>
      <w:pPr>
        <w:jc w:val="center"/>
        <w:rPr>
          <w:rFonts w:ascii="宋体" w:hAnsi="宋体" w:eastAsia="宋体" w:cs="方正小标宋简体"/>
          <w:bCs/>
          <w:spacing w:val="-6"/>
          <w:sz w:val="44"/>
          <w:szCs w:val="44"/>
        </w:rPr>
      </w:pPr>
      <w:r>
        <w:rPr>
          <w:rFonts w:hint="eastAsia" w:ascii="宋体" w:hAnsi="宋体" w:eastAsia="宋体" w:cs="方正小标宋简体"/>
          <w:bCs/>
          <w:spacing w:val="-6"/>
          <w:sz w:val="44"/>
          <w:szCs w:val="44"/>
        </w:rPr>
        <w:t xml:space="preserve">  二纬三联五</w:t>
      </w:r>
      <w:r>
        <w:rPr>
          <w:rFonts w:hint="eastAsia" w:ascii="宋体" w:hAnsi="宋体" w:eastAsia="宋体" w:cs="方正小标宋简体"/>
          <w:bCs/>
          <w:color w:val="auto"/>
          <w:spacing w:val="-6"/>
          <w:sz w:val="44"/>
          <w:szCs w:val="44"/>
        </w:rPr>
        <w:t>构建</w:t>
      </w:r>
      <w:r>
        <w:rPr>
          <w:rFonts w:hint="eastAsia" w:ascii="宋体" w:hAnsi="宋体" w:eastAsia="宋体" w:cs="方正小标宋简体"/>
          <w:bCs/>
          <w:spacing w:val="-6"/>
          <w:sz w:val="44"/>
          <w:szCs w:val="44"/>
        </w:rPr>
        <w:t>：</w:t>
      </w:r>
    </w:p>
    <w:p>
      <w:pPr>
        <w:jc w:val="center"/>
        <w:rPr>
          <w:rFonts w:hint="eastAsia" w:ascii="宋体" w:hAnsi="宋体" w:eastAsia="宋体" w:cs="方正小标宋简体"/>
          <w:bCs/>
          <w:spacing w:val="-6"/>
          <w:sz w:val="44"/>
          <w:szCs w:val="44"/>
        </w:rPr>
      </w:pPr>
      <w:r>
        <w:rPr>
          <w:rFonts w:hint="eastAsia" w:ascii="宋体" w:hAnsi="宋体" w:eastAsia="宋体" w:cs="方正小标宋简体"/>
          <w:bCs/>
          <w:spacing w:val="-6"/>
          <w:sz w:val="44"/>
          <w:szCs w:val="44"/>
        </w:rPr>
        <w:t>基于国家非遗竹编特色专业建设的育人实践</w:t>
      </w:r>
    </w:p>
    <w:p>
      <w:pPr>
        <w:spacing w:line="1760" w:lineRule="exact"/>
        <w:jc w:val="center"/>
        <w:rPr>
          <w:rFonts w:ascii="方正小标宋简体" w:hAnsi="方正小标宋简体" w:eastAsia="方正小标宋简体" w:cs="方正小标宋简体"/>
          <w:kern w:val="0"/>
          <w:sz w:val="84"/>
          <w:szCs w:val="84"/>
        </w:rPr>
      </w:pPr>
      <w:r>
        <w:rPr>
          <w:rFonts w:hint="eastAsia" w:ascii="方正小标宋简体" w:hAnsi="方正小标宋简体" w:eastAsia="方正小标宋简体" w:cs="方正小标宋简体"/>
          <w:kern w:val="0"/>
          <w:sz w:val="84"/>
          <w:szCs w:val="84"/>
        </w:rPr>
        <w:t>成</w:t>
      </w:r>
    </w:p>
    <w:p>
      <w:pPr>
        <w:spacing w:line="1760" w:lineRule="exact"/>
        <w:jc w:val="center"/>
        <w:rPr>
          <w:rFonts w:ascii="方正小标宋简体" w:hAnsi="方正小标宋简体" w:eastAsia="方正小标宋简体" w:cs="方正小标宋简体"/>
          <w:kern w:val="0"/>
          <w:sz w:val="84"/>
          <w:szCs w:val="84"/>
        </w:rPr>
      </w:pPr>
      <w:r>
        <w:rPr>
          <w:rFonts w:hint="eastAsia" w:ascii="方正小标宋简体" w:hAnsi="方正小标宋简体" w:eastAsia="方正小标宋简体" w:cs="方正小标宋简体"/>
          <w:kern w:val="0"/>
          <w:sz w:val="84"/>
          <w:szCs w:val="84"/>
        </w:rPr>
        <w:t>果</w:t>
      </w:r>
    </w:p>
    <w:p>
      <w:pPr>
        <w:spacing w:line="1760" w:lineRule="exact"/>
        <w:jc w:val="center"/>
        <w:rPr>
          <w:rFonts w:ascii="方正小标宋简体" w:hAnsi="方正小标宋简体" w:eastAsia="方正小标宋简体" w:cs="方正小标宋简体"/>
          <w:kern w:val="0"/>
          <w:sz w:val="84"/>
          <w:szCs w:val="84"/>
        </w:rPr>
      </w:pPr>
      <w:r>
        <w:rPr>
          <w:rFonts w:hint="eastAsia" w:ascii="方正小标宋简体" w:hAnsi="方正小标宋简体" w:eastAsia="方正小标宋简体" w:cs="方正小标宋简体"/>
          <w:kern w:val="0"/>
          <w:sz w:val="84"/>
          <w:szCs w:val="84"/>
        </w:rPr>
        <w:t>总</w:t>
      </w:r>
    </w:p>
    <w:p>
      <w:pPr>
        <w:spacing w:line="1760" w:lineRule="exact"/>
        <w:jc w:val="center"/>
        <w:rPr>
          <w:rFonts w:hint="eastAsia" w:ascii="方正小标宋简体" w:hAnsi="方正小标宋简体" w:eastAsia="方正小标宋简体" w:cs="方正小标宋简体"/>
          <w:kern w:val="0"/>
          <w:sz w:val="84"/>
          <w:szCs w:val="84"/>
        </w:rPr>
      </w:pPr>
      <w:r>
        <w:rPr>
          <w:rFonts w:hint="eastAsia" w:ascii="方正小标宋简体" w:hAnsi="方正小标宋简体" w:eastAsia="方正小标宋简体" w:cs="方正小标宋简体"/>
          <w:kern w:val="0"/>
          <w:sz w:val="84"/>
          <w:szCs w:val="84"/>
        </w:rPr>
        <w:t>结</w:t>
      </w:r>
    </w:p>
    <w:p>
      <w:pPr>
        <w:jc w:val="both"/>
        <w:rPr>
          <w:rFonts w:hint="eastAsia" w:ascii="仿宋_GB2312" w:eastAsia="仿宋_GB2312"/>
          <w:sz w:val="30"/>
          <w:szCs w:val="30"/>
          <w:u w:val="none"/>
        </w:rPr>
      </w:pPr>
    </w:p>
    <w:p>
      <w:pPr>
        <w:jc w:val="both"/>
        <w:rPr>
          <w:rFonts w:hint="eastAsia" w:ascii="仿宋_GB2312" w:eastAsia="仿宋_GB2312"/>
          <w:color w:val="auto"/>
          <w:sz w:val="30"/>
          <w:szCs w:val="30"/>
          <w:u w:val="none"/>
        </w:rPr>
      </w:pPr>
      <w:r>
        <w:rPr>
          <w:rFonts w:hint="eastAsia" w:ascii="仿宋_GB2312" w:eastAsia="仿宋_GB2312"/>
          <w:sz w:val="30"/>
          <w:szCs w:val="30"/>
          <w:u w:val="none"/>
        </w:rPr>
        <w:t>四川省青神中等职业学校</w:t>
      </w:r>
      <w:r>
        <w:rPr>
          <w:rFonts w:hint="eastAsia" w:ascii="仿宋_GB2312" w:eastAsia="仿宋_GB2312"/>
          <w:sz w:val="30"/>
          <w:szCs w:val="30"/>
          <w:u w:val="none"/>
          <w:lang w:val="en-US" w:eastAsia="zh-CN"/>
        </w:rPr>
        <w:t xml:space="preserve">     </w:t>
      </w:r>
      <w:r>
        <w:rPr>
          <w:rFonts w:hint="eastAsia" w:ascii="仿宋_GB2312" w:eastAsia="仿宋_GB2312"/>
          <w:color w:val="auto"/>
          <w:sz w:val="30"/>
          <w:szCs w:val="30"/>
          <w:u w:val="none"/>
        </w:rPr>
        <w:t>四川省青神县云华竹旅有限公司</w:t>
      </w:r>
    </w:p>
    <w:p>
      <w:pPr>
        <w:jc w:val="both"/>
        <w:rPr>
          <w:rFonts w:hint="eastAsia" w:ascii="仿宋_GB2312" w:eastAsia="仿宋_GB2312"/>
          <w:color w:val="auto"/>
          <w:sz w:val="30"/>
          <w:szCs w:val="30"/>
          <w:u w:val="none"/>
          <w:lang w:val="en-US" w:eastAsia="zh-CN"/>
        </w:rPr>
      </w:pPr>
      <w:r>
        <w:rPr>
          <w:rFonts w:hint="eastAsia" w:ascii="仿宋_GB2312" w:eastAsia="仿宋_GB2312"/>
          <w:color w:val="auto"/>
          <w:sz w:val="30"/>
          <w:szCs w:val="30"/>
          <w:u w:val="none"/>
        </w:rPr>
        <w:t>青神县状元竹艺精品厂</w:t>
      </w:r>
      <w:r>
        <w:rPr>
          <w:rFonts w:hint="eastAsia" w:ascii="仿宋_GB2312" w:eastAsia="仿宋_GB2312"/>
          <w:color w:val="auto"/>
          <w:sz w:val="30"/>
          <w:szCs w:val="30"/>
          <w:u w:val="none"/>
          <w:lang w:val="en-US" w:eastAsia="zh-CN"/>
        </w:rPr>
        <w:t xml:space="preserve">       </w:t>
      </w:r>
      <w:r>
        <w:rPr>
          <w:rFonts w:hint="eastAsia" w:ascii="仿宋_GB2312" w:eastAsia="仿宋_GB2312"/>
          <w:color w:val="auto"/>
          <w:sz w:val="30"/>
          <w:szCs w:val="30"/>
          <w:u w:val="none"/>
        </w:rPr>
        <w:t>青神县竹福竹编艺术创作中心</w:t>
      </w:r>
      <w:r>
        <w:rPr>
          <w:rFonts w:hint="eastAsia" w:ascii="仿宋_GB2312" w:eastAsia="仿宋_GB2312"/>
          <w:color w:val="auto"/>
          <w:sz w:val="30"/>
          <w:szCs w:val="30"/>
          <w:u w:val="none"/>
          <w:lang w:val="en-US" w:eastAsia="zh-CN"/>
        </w:rPr>
        <w:t xml:space="preserve"> </w:t>
      </w:r>
    </w:p>
    <w:p>
      <w:pPr>
        <w:jc w:val="both"/>
        <w:rPr>
          <w:rFonts w:hint="eastAsia" w:ascii="仿宋_GB2312" w:eastAsia="仿宋_GB2312"/>
          <w:color w:val="auto"/>
          <w:sz w:val="30"/>
          <w:szCs w:val="30"/>
          <w:u w:val="none"/>
          <w:lang w:val="en-US" w:eastAsia="zh-CN"/>
        </w:rPr>
      </w:pPr>
      <w:r>
        <w:rPr>
          <w:rFonts w:hint="eastAsia" w:ascii="仿宋_GB2312" w:eastAsia="仿宋_GB2312"/>
          <w:color w:val="auto"/>
          <w:sz w:val="30"/>
          <w:szCs w:val="30"/>
          <w:u w:val="none"/>
        </w:rPr>
        <w:t>青神县墨兰雅韵竹艺工作室</w:t>
      </w:r>
      <w:r>
        <w:rPr>
          <w:rFonts w:hint="eastAsia" w:ascii="仿宋_GB2312" w:eastAsia="仿宋_GB2312"/>
          <w:color w:val="auto"/>
          <w:sz w:val="30"/>
          <w:szCs w:val="30"/>
          <w:u w:val="none"/>
          <w:lang w:val="en-US" w:eastAsia="zh-CN"/>
        </w:rPr>
        <w:t xml:space="preserve">   </w:t>
      </w:r>
      <w:r>
        <w:rPr>
          <w:rFonts w:hint="eastAsia" w:ascii="仿宋_GB2312" w:eastAsia="仿宋_GB2312"/>
          <w:color w:val="auto"/>
          <w:sz w:val="30"/>
          <w:szCs w:val="30"/>
          <w:u w:val="none"/>
        </w:rPr>
        <w:t>四川思竹建筑装饰工程有限公司</w:t>
      </w:r>
      <w:r>
        <w:rPr>
          <w:rFonts w:hint="eastAsia" w:ascii="仿宋_GB2312" w:eastAsia="仿宋_GB2312"/>
          <w:color w:val="auto"/>
          <w:sz w:val="30"/>
          <w:szCs w:val="30"/>
          <w:u w:val="none"/>
          <w:lang w:val="en-US" w:eastAsia="zh-CN"/>
        </w:rPr>
        <w:t xml:space="preserve"> </w:t>
      </w:r>
    </w:p>
    <w:p>
      <w:pPr>
        <w:jc w:val="both"/>
        <w:rPr>
          <w:rFonts w:ascii="方正小标宋简体" w:hAnsi="方正小标宋简体" w:eastAsia="方正小标宋简体" w:cs="方正小标宋简体"/>
          <w:bCs/>
          <w:sz w:val="32"/>
          <w:szCs w:val="32"/>
        </w:rPr>
      </w:pPr>
      <w:r>
        <w:rPr>
          <w:rFonts w:hint="eastAsia" w:ascii="仿宋_GB2312" w:eastAsia="仿宋_GB2312"/>
          <w:color w:val="auto"/>
          <w:sz w:val="30"/>
          <w:szCs w:val="30"/>
          <w:u w:val="none"/>
          <w:lang w:val="en-US" w:eastAsia="zh-CN"/>
        </w:rPr>
        <w:t xml:space="preserve">  </w:t>
      </w:r>
    </w:p>
    <w:p>
      <w:pPr>
        <w:jc w:val="center"/>
        <w:rPr>
          <w:rFonts w:ascii="方正小标宋简体" w:hAnsi="方正小标宋简体" w:eastAsia="方正小标宋简体" w:cs="方正小标宋简体"/>
          <w:bCs/>
          <w:color w:val="auto"/>
          <w:sz w:val="32"/>
          <w:szCs w:val="32"/>
        </w:rPr>
        <w:sectPr>
          <w:footerReference r:id="rId3" w:type="default"/>
          <w:pgSz w:w="11906" w:h="16838"/>
          <w:pgMar w:top="1440" w:right="1800" w:bottom="1440" w:left="1800" w:header="851" w:footer="992" w:gutter="0"/>
          <w:pgNumType w:start="1"/>
          <w:cols w:space="425" w:num="1"/>
          <w:docGrid w:type="lines" w:linePitch="312" w:charSpace="0"/>
        </w:sectPr>
      </w:pPr>
      <w:r>
        <w:rPr>
          <w:rFonts w:hint="eastAsia" w:ascii="方正小标宋简体" w:hAnsi="方正小标宋简体" w:eastAsia="方正小标宋简体" w:cs="方正小标宋简体"/>
          <w:bCs/>
          <w:color w:val="auto"/>
          <w:sz w:val="32"/>
          <w:szCs w:val="32"/>
        </w:rPr>
        <w:t>2021年9月</w:t>
      </w:r>
    </w:p>
    <w:sdt>
      <w:sdtPr>
        <w:rPr>
          <w:rFonts w:ascii="宋体" w:hAnsi="宋体" w:eastAsia="宋体"/>
          <w:sz w:val="20"/>
          <w:szCs w:val="21"/>
        </w:rPr>
        <w:id w:val="147455979"/>
        <w:docPartObj>
          <w:docPartGallery w:val="Table of Contents"/>
          <w:docPartUnique/>
        </w:docPartObj>
      </w:sdtPr>
      <w:sdtEndPr>
        <w:rPr>
          <w:rFonts w:ascii="宋体" w:hAnsi="宋体" w:cs="宋体" w:eastAsiaTheme="minorEastAsia"/>
          <w:sz w:val="21"/>
          <w:szCs w:val="22"/>
        </w:rPr>
      </w:sdtEndPr>
      <w:sdtContent>
        <w:p>
          <w:pPr>
            <w:jc w:val="center"/>
            <w:rPr>
              <w:rFonts w:ascii="宋体" w:hAnsi="宋体" w:eastAsia="宋体"/>
              <w:sz w:val="20"/>
              <w:szCs w:val="21"/>
            </w:rPr>
          </w:pPr>
        </w:p>
        <w:p>
          <w:pPr>
            <w:jc w:val="center"/>
            <w:rPr>
              <w:rFonts w:ascii="宋体" w:hAnsi="宋体" w:eastAsia="宋体"/>
              <w:sz w:val="28"/>
              <w:szCs w:val="32"/>
            </w:rPr>
          </w:pPr>
          <w:r>
            <w:rPr>
              <w:rFonts w:ascii="宋体" w:hAnsi="宋体" w:eastAsia="宋体"/>
              <w:sz w:val="28"/>
              <w:szCs w:val="32"/>
            </w:rPr>
            <w:t>目</w:t>
          </w:r>
          <w:r>
            <w:rPr>
              <w:rFonts w:hint="eastAsia" w:ascii="宋体" w:hAnsi="宋体" w:eastAsia="宋体"/>
              <w:sz w:val="28"/>
              <w:szCs w:val="32"/>
            </w:rPr>
            <w:t xml:space="preserve">  </w:t>
          </w:r>
          <w:r>
            <w:rPr>
              <w:rFonts w:ascii="宋体" w:hAnsi="宋体" w:eastAsia="宋体"/>
              <w:sz w:val="28"/>
              <w:szCs w:val="32"/>
            </w:rPr>
            <w:t>录</w:t>
          </w:r>
        </w:p>
        <w:p>
          <w:pPr>
            <w:spacing w:line="360" w:lineRule="auto"/>
            <w:jc w:val="center"/>
            <w:rPr>
              <w:rFonts w:hint="eastAsia" w:ascii="宋体" w:hAnsi="宋体" w:eastAsia="宋体" w:cs="宋体"/>
              <w:sz w:val="24"/>
              <w:szCs w:val="24"/>
            </w:rPr>
          </w:pPr>
        </w:p>
        <w:p>
          <w:pPr>
            <w:pStyle w:val="32"/>
            <w:tabs>
              <w:tab w:val="right" w:leader="dot" w:pos="8306"/>
            </w:tabs>
            <w:spacing w:line="360" w:lineRule="auto"/>
            <w:rPr>
              <w:rFonts w:hint="eastAsia" w:ascii="宋体" w:hAnsi="宋体" w:eastAsia="宋体" w:cs="宋体"/>
              <w:sz w:val="24"/>
              <w:szCs w:val="24"/>
            </w:rPr>
          </w:pPr>
          <w:r>
            <w:rPr>
              <w:rFonts w:hint="eastAsia" w:ascii="宋体" w:hAnsi="宋体" w:eastAsia="宋体" w:cs="宋体"/>
              <w:sz w:val="24"/>
              <w:szCs w:val="24"/>
            </w:rPr>
            <w:fldChar w:fldCharType="begin"/>
          </w:r>
          <w:r>
            <w:rPr>
              <w:rFonts w:hint="eastAsia" w:ascii="宋体" w:hAnsi="宋体" w:eastAsia="宋体" w:cs="宋体"/>
              <w:sz w:val="24"/>
              <w:szCs w:val="24"/>
            </w:rPr>
            <w:instrText xml:space="preserve">TOC \o "1-3" \h \u </w:instrText>
          </w:r>
          <w:r>
            <w:rPr>
              <w:rFonts w:hint="eastAsia" w:ascii="宋体" w:hAnsi="宋体" w:eastAsia="宋体" w:cs="宋体"/>
              <w:sz w:val="24"/>
              <w:szCs w:val="24"/>
            </w:rPr>
            <w:fldChar w:fldCharType="separate"/>
          </w:r>
          <w:r>
            <w:rPr>
              <w:rFonts w:hint="eastAsia" w:ascii="宋体" w:hAnsi="宋体" w:eastAsia="宋体" w:cs="宋体"/>
              <w:sz w:val="24"/>
              <w:szCs w:val="24"/>
            </w:rPr>
            <w:fldChar w:fldCharType="begin"/>
          </w:r>
          <w:r>
            <w:rPr>
              <w:rFonts w:hint="eastAsia" w:ascii="宋体" w:hAnsi="宋体" w:eastAsia="宋体" w:cs="宋体"/>
              <w:sz w:val="24"/>
              <w:szCs w:val="24"/>
            </w:rPr>
            <w:instrText xml:space="preserve"> HYPERLINK \l "_Toc2912" </w:instrText>
          </w:r>
          <w:r>
            <w:rPr>
              <w:rFonts w:hint="eastAsia" w:ascii="宋体" w:hAnsi="宋体" w:eastAsia="宋体" w:cs="宋体"/>
              <w:sz w:val="24"/>
              <w:szCs w:val="24"/>
            </w:rPr>
            <w:fldChar w:fldCharType="separate"/>
          </w:r>
          <w:r>
            <w:rPr>
              <w:rFonts w:hint="eastAsia" w:ascii="宋体" w:hAnsi="宋体" w:eastAsia="宋体" w:cs="宋体"/>
              <w:sz w:val="24"/>
              <w:szCs w:val="24"/>
            </w:rPr>
            <w:t>一、成果形成背景及主要解决的问题</w:t>
          </w:r>
          <w:r>
            <w:rPr>
              <w:rFonts w:hint="eastAsia" w:ascii="宋体" w:hAnsi="宋体" w:eastAsia="宋体" w:cs="宋体"/>
              <w:sz w:val="24"/>
              <w:szCs w:val="24"/>
            </w:rPr>
            <w:tab/>
          </w:r>
          <w:r>
            <w:rPr>
              <w:rFonts w:hint="eastAsia" w:ascii="宋体" w:hAnsi="宋体" w:eastAsia="宋体" w:cs="宋体"/>
              <w:sz w:val="24"/>
              <w:szCs w:val="24"/>
              <w:lang w:val="en-US" w:eastAsia="zh-CN"/>
            </w:rPr>
            <w:t>1</w:t>
          </w:r>
          <w:r>
            <w:rPr>
              <w:rFonts w:hint="eastAsia" w:ascii="宋体" w:hAnsi="宋体" w:eastAsia="宋体" w:cs="宋体"/>
              <w:sz w:val="24"/>
              <w:szCs w:val="24"/>
            </w:rPr>
            <w:fldChar w:fldCharType="end"/>
          </w:r>
        </w:p>
        <w:p>
          <w:pPr>
            <w:pStyle w:val="32"/>
            <w:tabs>
              <w:tab w:val="right" w:leader="dot" w:pos="8306"/>
            </w:tabs>
            <w:spacing w:line="360" w:lineRule="auto"/>
            <w:rPr>
              <w:rFonts w:hint="eastAsia" w:ascii="宋体" w:hAnsi="宋体" w:eastAsia="宋体" w:cs="宋体"/>
              <w:sz w:val="24"/>
              <w:szCs w:val="24"/>
              <w:lang w:val="en-US" w:eastAsia="zh-CN"/>
            </w:rPr>
          </w:pPr>
          <w:r>
            <w:rPr>
              <w:rFonts w:hint="eastAsia" w:ascii="宋体" w:hAnsi="宋体" w:eastAsia="宋体" w:cs="宋体"/>
              <w:sz w:val="24"/>
              <w:szCs w:val="24"/>
            </w:rPr>
            <w:fldChar w:fldCharType="begin"/>
          </w:r>
          <w:r>
            <w:rPr>
              <w:rFonts w:hint="eastAsia" w:ascii="宋体" w:hAnsi="宋体" w:eastAsia="宋体" w:cs="宋体"/>
              <w:sz w:val="24"/>
              <w:szCs w:val="24"/>
            </w:rPr>
            <w:instrText xml:space="preserve"> HYPERLINK \l "_Toc20764" </w:instrText>
          </w:r>
          <w:r>
            <w:rPr>
              <w:rFonts w:hint="eastAsia" w:ascii="宋体" w:hAnsi="宋体" w:eastAsia="宋体" w:cs="宋体"/>
              <w:sz w:val="24"/>
              <w:szCs w:val="24"/>
            </w:rPr>
            <w:fldChar w:fldCharType="separate"/>
          </w:r>
          <w:r>
            <w:rPr>
              <w:rFonts w:hint="eastAsia" w:ascii="宋体" w:hAnsi="宋体" w:eastAsia="宋体" w:cs="宋体"/>
              <w:bCs/>
              <w:kern w:val="44"/>
              <w:sz w:val="24"/>
              <w:szCs w:val="24"/>
            </w:rPr>
            <w:t>二、成果解决问题的过程与方法</w:t>
          </w:r>
          <w:r>
            <w:rPr>
              <w:rFonts w:hint="eastAsia" w:ascii="宋体" w:hAnsi="宋体" w:eastAsia="宋体" w:cs="宋体"/>
              <w:sz w:val="24"/>
              <w:szCs w:val="24"/>
            </w:rPr>
            <w:tab/>
          </w:r>
          <w:r>
            <w:rPr>
              <w:rFonts w:hint="eastAsia" w:ascii="宋体" w:hAnsi="宋体" w:eastAsia="宋体" w:cs="宋体"/>
              <w:sz w:val="24"/>
              <w:szCs w:val="24"/>
            </w:rPr>
            <w:fldChar w:fldCharType="end"/>
          </w:r>
          <w:r>
            <w:rPr>
              <w:rFonts w:hint="eastAsia" w:ascii="宋体" w:hAnsi="宋体" w:cs="宋体"/>
              <w:sz w:val="24"/>
              <w:szCs w:val="24"/>
              <w:lang w:val="en-US" w:eastAsia="zh-CN"/>
            </w:rPr>
            <w:t>1</w:t>
          </w:r>
        </w:p>
        <w:p>
          <w:pPr>
            <w:pStyle w:val="33"/>
            <w:tabs>
              <w:tab w:val="right" w:leader="dot" w:pos="8306"/>
            </w:tabs>
            <w:spacing w:line="360" w:lineRule="auto"/>
            <w:ind w:left="420"/>
            <w:rPr>
              <w:rFonts w:hint="eastAsia" w:ascii="宋体" w:hAnsi="宋体" w:eastAsia="宋体" w:cs="宋体"/>
              <w:sz w:val="24"/>
              <w:szCs w:val="24"/>
            </w:rPr>
          </w:pPr>
          <w:r>
            <w:rPr>
              <w:rFonts w:hint="eastAsia" w:ascii="宋体" w:hAnsi="宋体" w:eastAsia="宋体" w:cs="宋体"/>
              <w:sz w:val="24"/>
              <w:szCs w:val="24"/>
            </w:rPr>
            <w:fldChar w:fldCharType="begin"/>
          </w:r>
          <w:r>
            <w:rPr>
              <w:rFonts w:hint="eastAsia" w:ascii="宋体" w:hAnsi="宋体" w:eastAsia="宋体" w:cs="宋体"/>
              <w:sz w:val="24"/>
              <w:szCs w:val="24"/>
            </w:rPr>
            <w:instrText xml:space="preserve"> HYPERLINK \l "_Toc12769" </w:instrText>
          </w:r>
          <w:r>
            <w:rPr>
              <w:rFonts w:hint="eastAsia" w:ascii="宋体" w:hAnsi="宋体" w:eastAsia="宋体" w:cs="宋体"/>
              <w:sz w:val="24"/>
              <w:szCs w:val="24"/>
            </w:rPr>
            <w:fldChar w:fldCharType="separate"/>
          </w:r>
          <w:r>
            <w:rPr>
              <w:rFonts w:hint="eastAsia" w:ascii="宋体" w:hAnsi="宋体" w:eastAsia="宋体" w:cs="宋体"/>
              <w:sz w:val="24"/>
              <w:szCs w:val="24"/>
            </w:rPr>
            <w:t>（一）探索阶段（1987—2009）</w:t>
          </w:r>
          <w:r>
            <w:rPr>
              <w:rFonts w:hint="eastAsia" w:ascii="宋体" w:hAnsi="宋体" w:eastAsia="宋体" w:cs="宋体"/>
              <w:sz w:val="24"/>
              <w:szCs w:val="24"/>
            </w:rPr>
            <w:tab/>
          </w:r>
          <w:r>
            <w:rPr>
              <w:rFonts w:hint="eastAsia" w:ascii="宋体" w:hAnsi="宋体" w:cs="宋体"/>
              <w:sz w:val="24"/>
              <w:szCs w:val="24"/>
              <w:lang w:val="en-US" w:eastAsia="zh-CN"/>
            </w:rPr>
            <w:t>2</w:t>
          </w:r>
          <w:r>
            <w:rPr>
              <w:rFonts w:hint="eastAsia" w:ascii="宋体" w:hAnsi="宋体" w:eastAsia="宋体" w:cs="宋体"/>
              <w:sz w:val="24"/>
              <w:szCs w:val="24"/>
            </w:rPr>
            <w:fldChar w:fldCharType="end"/>
          </w:r>
        </w:p>
        <w:p>
          <w:pPr>
            <w:pStyle w:val="33"/>
            <w:tabs>
              <w:tab w:val="right" w:leader="dot" w:pos="8306"/>
            </w:tabs>
            <w:spacing w:line="360" w:lineRule="auto"/>
            <w:ind w:left="420"/>
            <w:rPr>
              <w:rFonts w:hint="eastAsia" w:ascii="宋体" w:hAnsi="宋体" w:eastAsia="宋体" w:cs="宋体"/>
              <w:sz w:val="24"/>
              <w:szCs w:val="24"/>
            </w:rPr>
          </w:pPr>
          <w:r>
            <w:rPr>
              <w:rFonts w:hint="eastAsia" w:ascii="宋体" w:hAnsi="宋体" w:eastAsia="宋体" w:cs="宋体"/>
              <w:sz w:val="24"/>
              <w:szCs w:val="24"/>
            </w:rPr>
            <w:fldChar w:fldCharType="begin"/>
          </w:r>
          <w:r>
            <w:rPr>
              <w:rFonts w:hint="eastAsia" w:ascii="宋体" w:hAnsi="宋体" w:eastAsia="宋体" w:cs="宋体"/>
              <w:sz w:val="24"/>
              <w:szCs w:val="24"/>
            </w:rPr>
            <w:instrText xml:space="preserve"> HYPERLINK \l "_Toc25681" </w:instrText>
          </w:r>
          <w:r>
            <w:rPr>
              <w:rFonts w:hint="eastAsia" w:ascii="宋体" w:hAnsi="宋体" w:eastAsia="宋体" w:cs="宋体"/>
              <w:sz w:val="24"/>
              <w:szCs w:val="24"/>
            </w:rPr>
            <w:fldChar w:fldCharType="separate"/>
          </w:r>
          <w:r>
            <w:rPr>
              <w:rFonts w:hint="eastAsia" w:ascii="宋体" w:hAnsi="宋体" w:eastAsia="宋体" w:cs="宋体"/>
              <w:sz w:val="24"/>
              <w:szCs w:val="24"/>
            </w:rPr>
            <w:t>（二）创新阶段（2010—2014）</w:t>
          </w:r>
          <w:r>
            <w:rPr>
              <w:rFonts w:hint="eastAsia" w:ascii="宋体" w:hAnsi="宋体" w:eastAsia="宋体" w:cs="宋体"/>
              <w:sz w:val="24"/>
              <w:szCs w:val="24"/>
            </w:rPr>
            <w:tab/>
          </w:r>
          <w:r>
            <w:rPr>
              <w:rFonts w:hint="eastAsia" w:ascii="宋体" w:hAnsi="宋体" w:cs="宋体"/>
              <w:sz w:val="24"/>
              <w:szCs w:val="24"/>
              <w:lang w:val="en-US" w:eastAsia="zh-CN"/>
            </w:rPr>
            <w:t>2</w:t>
          </w:r>
          <w:r>
            <w:rPr>
              <w:rFonts w:hint="eastAsia" w:ascii="宋体" w:hAnsi="宋体" w:eastAsia="宋体" w:cs="宋体"/>
              <w:sz w:val="24"/>
              <w:szCs w:val="24"/>
            </w:rPr>
            <w:fldChar w:fldCharType="end"/>
          </w:r>
        </w:p>
        <w:p>
          <w:pPr>
            <w:pStyle w:val="33"/>
            <w:tabs>
              <w:tab w:val="right" w:leader="dot" w:pos="8306"/>
            </w:tabs>
            <w:spacing w:line="360" w:lineRule="auto"/>
            <w:ind w:left="420"/>
            <w:rPr>
              <w:rFonts w:hint="eastAsia" w:ascii="宋体" w:hAnsi="宋体" w:eastAsia="宋体" w:cs="宋体"/>
              <w:sz w:val="24"/>
              <w:szCs w:val="24"/>
            </w:rPr>
          </w:pPr>
          <w:r>
            <w:rPr>
              <w:rFonts w:hint="eastAsia" w:ascii="宋体" w:hAnsi="宋体" w:eastAsia="宋体" w:cs="宋体"/>
              <w:sz w:val="24"/>
              <w:szCs w:val="24"/>
            </w:rPr>
            <w:fldChar w:fldCharType="begin"/>
          </w:r>
          <w:r>
            <w:rPr>
              <w:rFonts w:hint="eastAsia" w:ascii="宋体" w:hAnsi="宋体" w:eastAsia="宋体" w:cs="宋体"/>
              <w:sz w:val="24"/>
              <w:szCs w:val="24"/>
            </w:rPr>
            <w:instrText xml:space="preserve"> HYPERLINK \l "_Toc20149" </w:instrText>
          </w:r>
          <w:r>
            <w:rPr>
              <w:rFonts w:hint="eastAsia" w:ascii="宋体" w:hAnsi="宋体" w:eastAsia="宋体" w:cs="宋体"/>
              <w:sz w:val="24"/>
              <w:szCs w:val="24"/>
            </w:rPr>
            <w:fldChar w:fldCharType="separate"/>
          </w:r>
          <w:r>
            <w:rPr>
              <w:rFonts w:hint="eastAsia" w:ascii="宋体" w:hAnsi="宋体" w:eastAsia="宋体" w:cs="宋体"/>
              <w:sz w:val="24"/>
              <w:szCs w:val="24"/>
            </w:rPr>
            <w:t>（三）优化推广阶段（2015—2021）</w:t>
          </w:r>
          <w:r>
            <w:rPr>
              <w:rFonts w:hint="eastAsia" w:ascii="宋体" w:hAnsi="宋体" w:eastAsia="宋体" w:cs="宋体"/>
              <w:sz w:val="24"/>
              <w:szCs w:val="24"/>
            </w:rPr>
            <w:tab/>
          </w:r>
          <w:r>
            <w:rPr>
              <w:rFonts w:hint="eastAsia" w:ascii="宋体" w:hAnsi="宋体" w:cs="宋体"/>
              <w:sz w:val="24"/>
              <w:szCs w:val="24"/>
              <w:lang w:val="en-US" w:eastAsia="zh-CN"/>
            </w:rPr>
            <w:t>3</w:t>
          </w:r>
          <w:r>
            <w:rPr>
              <w:rFonts w:hint="eastAsia" w:ascii="宋体" w:hAnsi="宋体" w:eastAsia="宋体" w:cs="宋体"/>
              <w:sz w:val="24"/>
              <w:szCs w:val="24"/>
            </w:rPr>
            <w:fldChar w:fldCharType="end"/>
          </w:r>
        </w:p>
        <w:p>
          <w:pPr>
            <w:pStyle w:val="32"/>
            <w:tabs>
              <w:tab w:val="right" w:leader="dot" w:pos="8306"/>
            </w:tabs>
            <w:spacing w:line="360" w:lineRule="auto"/>
            <w:rPr>
              <w:rFonts w:hint="eastAsia" w:ascii="宋体" w:hAnsi="宋体" w:eastAsia="宋体" w:cs="宋体"/>
              <w:sz w:val="24"/>
              <w:szCs w:val="24"/>
            </w:rPr>
          </w:pPr>
          <w:r>
            <w:rPr>
              <w:rFonts w:hint="eastAsia" w:ascii="宋体" w:hAnsi="宋体" w:eastAsia="宋体" w:cs="宋体"/>
              <w:sz w:val="24"/>
              <w:szCs w:val="24"/>
            </w:rPr>
            <w:fldChar w:fldCharType="begin"/>
          </w:r>
          <w:r>
            <w:rPr>
              <w:rFonts w:hint="eastAsia" w:ascii="宋体" w:hAnsi="宋体" w:eastAsia="宋体" w:cs="宋体"/>
              <w:sz w:val="24"/>
              <w:szCs w:val="24"/>
            </w:rPr>
            <w:instrText xml:space="preserve"> HYPERLINK \l "_Toc19105" </w:instrText>
          </w:r>
          <w:r>
            <w:rPr>
              <w:rFonts w:hint="eastAsia" w:ascii="宋体" w:hAnsi="宋体" w:eastAsia="宋体" w:cs="宋体"/>
              <w:sz w:val="24"/>
              <w:szCs w:val="24"/>
            </w:rPr>
            <w:fldChar w:fldCharType="separate"/>
          </w:r>
          <w:r>
            <w:rPr>
              <w:rFonts w:hint="eastAsia" w:ascii="宋体" w:hAnsi="宋体" w:eastAsia="宋体" w:cs="宋体"/>
              <w:sz w:val="24"/>
              <w:szCs w:val="24"/>
            </w:rPr>
            <w:t>三、成果的主要内容</w:t>
          </w:r>
          <w:r>
            <w:rPr>
              <w:rFonts w:hint="eastAsia" w:ascii="宋体" w:hAnsi="宋体" w:eastAsia="宋体" w:cs="宋体"/>
              <w:sz w:val="24"/>
              <w:szCs w:val="24"/>
            </w:rPr>
            <w:tab/>
          </w:r>
          <w:r>
            <w:rPr>
              <w:rFonts w:hint="eastAsia" w:ascii="宋体" w:hAnsi="宋体" w:cs="宋体"/>
              <w:sz w:val="24"/>
              <w:szCs w:val="24"/>
              <w:lang w:val="en-US" w:eastAsia="zh-CN"/>
            </w:rPr>
            <w:t>4</w:t>
          </w:r>
          <w:r>
            <w:rPr>
              <w:rFonts w:hint="eastAsia" w:ascii="宋体" w:hAnsi="宋体" w:eastAsia="宋体" w:cs="宋体"/>
              <w:sz w:val="24"/>
              <w:szCs w:val="24"/>
            </w:rPr>
            <w:fldChar w:fldCharType="end"/>
          </w:r>
        </w:p>
        <w:p>
          <w:pPr>
            <w:pStyle w:val="33"/>
            <w:tabs>
              <w:tab w:val="right" w:leader="dot" w:pos="8306"/>
            </w:tabs>
            <w:spacing w:line="360" w:lineRule="auto"/>
            <w:ind w:left="420"/>
            <w:rPr>
              <w:rFonts w:hint="eastAsia" w:ascii="宋体" w:hAnsi="宋体" w:eastAsia="宋体" w:cs="宋体"/>
              <w:sz w:val="24"/>
              <w:szCs w:val="24"/>
            </w:rPr>
          </w:pPr>
          <w:r>
            <w:rPr>
              <w:rFonts w:hint="eastAsia" w:ascii="宋体" w:hAnsi="宋体" w:eastAsia="宋体" w:cs="宋体"/>
              <w:sz w:val="24"/>
              <w:szCs w:val="24"/>
            </w:rPr>
            <w:fldChar w:fldCharType="begin"/>
          </w:r>
          <w:r>
            <w:rPr>
              <w:rFonts w:hint="eastAsia" w:ascii="宋体" w:hAnsi="宋体" w:eastAsia="宋体" w:cs="宋体"/>
              <w:sz w:val="24"/>
              <w:szCs w:val="24"/>
            </w:rPr>
            <w:instrText xml:space="preserve"> HYPERLINK \l "_Toc9474" </w:instrText>
          </w:r>
          <w:r>
            <w:rPr>
              <w:rFonts w:hint="eastAsia" w:ascii="宋体" w:hAnsi="宋体" w:eastAsia="宋体" w:cs="宋体"/>
              <w:sz w:val="24"/>
              <w:szCs w:val="24"/>
            </w:rPr>
            <w:fldChar w:fldCharType="separate"/>
          </w:r>
          <w:r>
            <w:rPr>
              <w:rFonts w:hint="eastAsia" w:ascii="宋体" w:hAnsi="宋体" w:eastAsia="宋体" w:cs="宋体"/>
              <w:sz w:val="24"/>
              <w:szCs w:val="24"/>
            </w:rPr>
            <w:t>（一）认识性成果</w:t>
          </w:r>
          <w:r>
            <w:rPr>
              <w:rFonts w:hint="eastAsia" w:ascii="宋体" w:hAnsi="宋体" w:eastAsia="宋体" w:cs="宋体"/>
              <w:sz w:val="24"/>
              <w:szCs w:val="24"/>
            </w:rPr>
            <w:tab/>
          </w:r>
          <w:r>
            <w:rPr>
              <w:rFonts w:hint="eastAsia" w:ascii="宋体" w:hAnsi="宋体" w:cs="宋体"/>
              <w:sz w:val="24"/>
              <w:szCs w:val="24"/>
              <w:lang w:val="en-US" w:eastAsia="zh-CN"/>
            </w:rPr>
            <w:t>4</w:t>
          </w:r>
          <w:r>
            <w:rPr>
              <w:rFonts w:hint="eastAsia" w:ascii="宋体" w:hAnsi="宋体" w:eastAsia="宋体" w:cs="宋体"/>
              <w:sz w:val="24"/>
              <w:szCs w:val="24"/>
            </w:rPr>
            <w:fldChar w:fldCharType="end"/>
          </w:r>
        </w:p>
        <w:p>
          <w:pPr>
            <w:pStyle w:val="33"/>
            <w:tabs>
              <w:tab w:val="right" w:leader="dot" w:pos="8306"/>
            </w:tabs>
            <w:spacing w:line="360" w:lineRule="auto"/>
            <w:ind w:left="420"/>
            <w:rPr>
              <w:rFonts w:hint="eastAsia" w:ascii="宋体" w:hAnsi="宋体" w:eastAsia="宋体" w:cs="宋体"/>
              <w:sz w:val="24"/>
              <w:szCs w:val="24"/>
            </w:rPr>
          </w:pPr>
          <w:r>
            <w:rPr>
              <w:rFonts w:hint="eastAsia" w:ascii="宋体" w:hAnsi="宋体" w:eastAsia="宋体" w:cs="宋体"/>
              <w:sz w:val="24"/>
              <w:szCs w:val="24"/>
            </w:rPr>
            <w:fldChar w:fldCharType="begin"/>
          </w:r>
          <w:r>
            <w:rPr>
              <w:rFonts w:hint="eastAsia" w:ascii="宋体" w:hAnsi="宋体" w:eastAsia="宋体" w:cs="宋体"/>
              <w:sz w:val="24"/>
              <w:szCs w:val="24"/>
            </w:rPr>
            <w:instrText xml:space="preserve"> HYPERLINK \l "_Toc23193" </w:instrText>
          </w:r>
          <w:r>
            <w:rPr>
              <w:rFonts w:hint="eastAsia" w:ascii="宋体" w:hAnsi="宋体" w:eastAsia="宋体" w:cs="宋体"/>
              <w:sz w:val="24"/>
              <w:szCs w:val="24"/>
            </w:rPr>
            <w:fldChar w:fldCharType="separate"/>
          </w:r>
          <w:r>
            <w:rPr>
              <w:rFonts w:hint="eastAsia" w:ascii="宋体" w:hAnsi="宋体" w:eastAsia="宋体" w:cs="宋体"/>
              <w:sz w:val="24"/>
              <w:szCs w:val="24"/>
            </w:rPr>
            <w:t>（二）操作性成果</w:t>
          </w:r>
          <w:r>
            <w:rPr>
              <w:rFonts w:hint="eastAsia" w:ascii="宋体" w:hAnsi="宋体" w:eastAsia="宋体" w:cs="宋体"/>
              <w:sz w:val="24"/>
              <w:szCs w:val="24"/>
            </w:rPr>
            <w:tab/>
          </w:r>
          <w:r>
            <w:rPr>
              <w:rFonts w:hint="eastAsia" w:ascii="宋体" w:hAnsi="宋体" w:cs="宋体"/>
              <w:sz w:val="24"/>
              <w:szCs w:val="24"/>
              <w:lang w:val="en-US" w:eastAsia="zh-CN"/>
            </w:rPr>
            <w:t>5</w:t>
          </w:r>
          <w:r>
            <w:rPr>
              <w:rFonts w:hint="eastAsia" w:ascii="宋体" w:hAnsi="宋体" w:eastAsia="宋体" w:cs="宋体"/>
              <w:sz w:val="24"/>
              <w:szCs w:val="24"/>
            </w:rPr>
            <w:fldChar w:fldCharType="end"/>
          </w:r>
        </w:p>
        <w:p>
          <w:pPr>
            <w:pStyle w:val="32"/>
            <w:tabs>
              <w:tab w:val="right" w:leader="dot" w:pos="8306"/>
            </w:tabs>
            <w:spacing w:line="360" w:lineRule="auto"/>
            <w:rPr>
              <w:rFonts w:hint="eastAsia" w:ascii="宋体" w:hAnsi="宋体" w:eastAsia="宋体" w:cs="宋体"/>
              <w:sz w:val="24"/>
              <w:szCs w:val="24"/>
            </w:rPr>
          </w:pPr>
          <w:r>
            <w:rPr>
              <w:rFonts w:hint="eastAsia" w:ascii="宋体" w:hAnsi="宋体" w:eastAsia="宋体" w:cs="宋体"/>
              <w:sz w:val="24"/>
              <w:szCs w:val="24"/>
            </w:rPr>
            <w:fldChar w:fldCharType="begin"/>
          </w:r>
          <w:r>
            <w:rPr>
              <w:rFonts w:hint="eastAsia" w:ascii="宋体" w:hAnsi="宋体" w:eastAsia="宋体" w:cs="宋体"/>
              <w:sz w:val="24"/>
              <w:szCs w:val="24"/>
            </w:rPr>
            <w:instrText xml:space="preserve"> HYPERLINK \l "_Toc17087" </w:instrText>
          </w:r>
          <w:r>
            <w:rPr>
              <w:rFonts w:hint="eastAsia" w:ascii="宋体" w:hAnsi="宋体" w:eastAsia="宋体" w:cs="宋体"/>
              <w:sz w:val="24"/>
              <w:szCs w:val="24"/>
            </w:rPr>
            <w:fldChar w:fldCharType="separate"/>
          </w:r>
          <w:r>
            <w:rPr>
              <w:rFonts w:hint="eastAsia" w:ascii="宋体" w:hAnsi="宋体" w:eastAsia="宋体" w:cs="宋体"/>
              <w:sz w:val="24"/>
              <w:szCs w:val="24"/>
            </w:rPr>
            <w:t>四、成果的推广应用效果</w:t>
          </w:r>
          <w:r>
            <w:rPr>
              <w:rFonts w:hint="eastAsia" w:ascii="宋体" w:hAnsi="宋体" w:eastAsia="宋体" w:cs="宋体"/>
              <w:sz w:val="24"/>
              <w:szCs w:val="24"/>
            </w:rPr>
            <w:tab/>
          </w:r>
          <w:r>
            <w:rPr>
              <w:rFonts w:hint="eastAsia" w:ascii="宋体" w:hAnsi="宋体" w:cs="宋体"/>
              <w:sz w:val="24"/>
              <w:szCs w:val="24"/>
              <w:lang w:val="en-US" w:eastAsia="zh-CN"/>
            </w:rPr>
            <w:t>8</w:t>
          </w:r>
          <w:r>
            <w:rPr>
              <w:rFonts w:hint="eastAsia" w:ascii="宋体" w:hAnsi="宋体" w:eastAsia="宋体" w:cs="宋体"/>
              <w:sz w:val="24"/>
              <w:szCs w:val="24"/>
            </w:rPr>
            <w:fldChar w:fldCharType="end"/>
          </w:r>
        </w:p>
        <w:p>
          <w:pPr>
            <w:pStyle w:val="32"/>
            <w:tabs>
              <w:tab w:val="right" w:leader="dot" w:pos="8306"/>
            </w:tabs>
            <w:spacing w:line="360" w:lineRule="auto"/>
            <w:rPr>
              <w:rFonts w:hint="eastAsia" w:ascii="宋体" w:hAnsi="宋体" w:cs="宋体"/>
              <w:sz w:val="24"/>
              <w:szCs w:val="24"/>
              <w:lang w:val="en-US" w:eastAsia="zh-CN"/>
            </w:rPr>
          </w:pPr>
          <w:r>
            <w:rPr>
              <w:rFonts w:hint="eastAsia" w:ascii="宋体" w:hAnsi="宋体" w:cs="宋体"/>
              <w:sz w:val="24"/>
              <w:szCs w:val="24"/>
              <w:lang w:val="en-US" w:eastAsia="zh-CN"/>
            </w:rPr>
            <w:t xml:space="preserve">    1、育人质量显著提升,对口就业率高达96.45%</w:t>
          </w:r>
          <w:r>
            <w:rPr>
              <w:rFonts w:hint="eastAsia" w:ascii="宋体" w:hAnsi="宋体" w:eastAsia="宋体" w:cs="宋体"/>
              <w:sz w:val="24"/>
              <w:szCs w:val="24"/>
            </w:rPr>
            <w:tab/>
          </w:r>
          <w:r>
            <w:rPr>
              <w:rFonts w:hint="eastAsia" w:ascii="宋体" w:hAnsi="宋体" w:cs="宋体"/>
              <w:sz w:val="24"/>
              <w:szCs w:val="24"/>
              <w:lang w:val="en-US" w:eastAsia="zh-CN"/>
            </w:rPr>
            <w:t>8</w:t>
          </w:r>
        </w:p>
        <w:p>
          <w:pPr>
            <w:pStyle w:val="32"/>
            <w:tabs>
              <w:tab w:val="right" w:leader="dot" w:pos="8306"/>
            </w:tabs>
            <w:spacing w:line="360" w:lineRule="auto"/>
            <w:rPr>
              <w:rFonts w:hint="eastAsia" w:ascii="宋体" w:hAnsi="宋体" w:cs="宋体"/>
              <w:sz w:val="24"/>
              <w:szCs w:val="24"/>
              <w:lang w:val="en-US" w:eastAsia="zh-CN"/>
            </w:rPr>
          </w:pPr>
          <w:r>
            <w:rPr>
              <w:rFonts w:hint="eastAsia" w:ascii="宋体" w:hAnsi="宋体" w:cs="宋体"/>
              <w:sz w:val="24"/>
              <w:szCs w:val="24"/>
              <w:lang w:val="en-US" w:eastAsia="zh-CN"/>
            </w:rPr>
            <w:t xml:space="preserve">    2、传承非遗文化，培育非遗人才，服务“一带一路”</w:t>
          </w:r>
          <w:r>
            <w:rPr>
              <w:rFonts w:hint="eastAsia" w:ascii="宋体" w:hAnsi="宋体" w:eastAsia="宋体" w:cs="宋体"/>
              <w:sz w:val="24"/>
              <w:szCs w:val="24"/>
            </w:rPr>
            <w:tab/>
          </w:r>
          <w:r>
            <w:rPr>
              <w:rFonts w:hint="eastAsia" w:ascii="宋体" w:hAnsi="宋体" w:cs="宋体"/>
              <w:sz w:val="24"/>
              <w:szCs w:val="24"/>
              <w:lang w:val="en-US" w:eastAsia="zh-CN"/>
            </w:rPr>
            <w:t>9</w:t>
          </w:r>
        </w:p>
        <w:p>
          <w:pPr>
            <w:pStyle w:val="32"/>
            <w:tabs>
              <w:tab w:val="right" w:leader="dot" w:pos="8306"/>
            </w:tabs>
            <w:spacing w:line="360" w:lineRule="auto"/>
            <w:rPr>
              <w:rFonts w:hint="eastAsia" w:ascii="宋体" w:hAnsi="宋体" w:cs="宋体"/>
              <w:sz w:val="24"/>
              <w:szCs w:val="24"/>
              <w:lang w:val="en-US" w:eastAsia="zh-CN"/>
            </w:rPr>
          </w:pPr>
          <w:r>
            <w:rPr>
              <w:rFonts w:hint="eastAsia" w:ascii="宋体" w:hAnsi="宋体" w:cs="宋体"/>
              <w:sz w:val="24"/>
              <w:szCs w:val="24"/>
              <w:lang w:val="en-US" w:eastAsia="zh-CN"/>
            </w:rPr>
            <w:t xml:space="preserve">    3、教师能力显著提升，取得丰硕成果</w:t>
          </w:r>
          <w:r>
            <w:rPr>
              <w:rFonts w:hint="eastAsia" w:ascii="宋体" w:hAnsi="宋体" w:eastAsia="宋体" w:cs="宋体"/>
              <w:sz w:val="24"/>
              <w:szCs w:val="24"/>
            </w:rPr>
            <w:tab/>
          </w:r>
          <w:r>
            <w:rPr>
              <w:rFonts w:hint="eastAsia" w:ascii="宋体" w:hAnsi="宋体" w:cs="宋体"/>
              <w:sz w:val="24"/>
              <w:szCs w:val="24"/>
              <w:lang w:val="en-US" w:eastAsia="zh-CN"/>
            </w:rPr>
            <w:t>11</w:t>
          </w:r>
        </w:p>
        <w:p>
          <w:pPr>
            <w:pStyle w:val="32"/>
            <w:tabs>
              <w:tab w:val="right" w:leader="dot" w:pos="8306"/>
            </w:tabs>
            <w:spacing w:line="360" w:lineRule="auto"/>
            <w:rPr>
              <w:rFonts w:hint="default" w:ascii="宋体" w:hAnsi="宋体" w:eastAsia="宋体" w:cs="宋体"/>
              <w:sz w:val="24"/>
              <w:szCs w:val="24"/>
              <w:lang w:val="en-US"/>
            </w:rPr>
          </w:pPr>
          <w:r>
            <w:rPr>
              <w:rFonts w:hint="eastAsia" w:ascii="宋体" w:hAnsi="宋体" w:cs="宋体"/>
              <w:sz w:val="24"/>
              <w:szCs w:val="24"/>
              <w:lang w:val="en-US" w:eastAsia="zh-CN"/>
            </w:rPr>
            <w:t xml:space="preserve">    4、领导重视、媒体宣传，社会影响不断扩大</w:t>
          </w:r>
          <w:r>
            <w:rPr>
              <w:rFonts w:hint="eastAsia" w:ascii="宋体" w:hAnsi="宋体" w:eastAsia="宋体" w:cs="宋体"/>
              <w:sz w:val="24"/>
              <w:szCs w:val="24"/>
            </w:rPr>
            <w:tab/>
          </w:r>
          <w:r>
            <w:rPr>
              <w:rFonts w:hint="eastAsia" w:ascii="宋体" w:hAnsi="宋体" w:cs="宋体"/>
              <w:sz w:val="24"/>
              <w:szCs w:val="24"/>
              <w:lang w:val="en-US" w:eastAsia="zh-CN"/>
            </w:rPr>
            <w:t>13</w:t>
          </w:r>
        </w:p>
        <w:p>
          <w:pPr>
            <w:pStyle w:val="32"/>
            <w:tabs>
              <w:tab w:val="right" w:leader="dot" w:pos="8306"/>
            </w:tabs>
            <w:spacing w:line="360" w:lineRule="auto"/>
            <w:rPr>
              <w:rFonts w:hint="eastAsia" w:ascii="宋体" w:hAnsi="宋体" w:eastAsia="宋体" w:cs="宋体"/>
              <w:sz w:val="24"/>
              <w:szCs w:val="24"/>
            </w:rPr>
          </w:pPr>
          <w:r>
            <w:rPr>
              <w:rFonts w:hint="eastAsia" w:ascii="宋体" w:hAnsi="宋体" w:eastAsia="宋体" w:cs="宋体"/>
              <w:sz w:val="24"/>
              <w:szCs w:val="24"/>
            </w:rPr>
            <w:fldChar w:fldCharType="begin"/>
          </w:r>
          <w:r>
            <w:rPr>
              <w:rFonts w:hint="eastAsia" w:ascii="宋体" w:hAnsi="宋体" w:eastAsia="宋体" w:cs="宋体"/>
              <w:sz w:val="24"/>
              <w:szCs w:val="24"/>
            </w:rPr>
            <w:instrText xml:space="preserve"> HYPERLINK \l "_Toc3666" </w:instrText>
          </w:r>
          <w:r>
            <w:rPr>
              <w:rFonts w:hint="eastAsia" w:ascii="宋体" w:hAnsi="宋体" w:eastAsia="宋体" w:cs="宋体"/>
              <w:sz w:val="24"/>
              <w:szCs w:val="24"/>
            </w:rPr>
            <w:fldChar w:fldCharType="separate"/>
          </w:r>
          <w:r>
            <w:rPr>
              <w:rFonts w:hint="eastAsia" w:ascii="宋体" w:hAnsi="宋体" w:eastAsia="宋体" w:cs="宋体"/>
              <w:sz w:val="24"/>
              <w:szCs w:val="24"/>
            </w:rPr>
            <w:t>五、成果的创新点</w:t>
          </w:r>
          <w:r>
            <w:rPr>
              <w:rFonts w:hint="eastAsia" w:ascii="宋体" w:hAnsi="宋体" w:eastAsia="宋体" w:cs="宋体"/>
              <w:sz w:val="24"/>
              <w:szCs w:val="24"/>
            </w:rPr>
            <w:tab/>
          </w:r>
          <w:r>
            <w:rPr>
              <w:rFonts w:hint="eastAsia" w:ascii="宋体" w:hAnsi="宋体" w:cs="宋体"/>
              <w:sz w:val="24"/>
              <w:szCs w:val="24"/>
              <w:lang w:val="en-US" w:eastAsia="zh-CN"/>
            </w:rPr>
            <w:t>17</w:t>
          </w:r>
          <w:r>
            <w:rPr>
              <w:rFonts w:hint="eastAsia" w:ascii="宋体" w:hAnsi="宋体" w:eastAsia="宋体" w:cs="宋体"/>
              <w:sz w:val="24"/>
              <w:szCs w:val="24"/>
            </w:rPr>
            <w:fldChar w:fldCharType="end"/>
          </w:r>
        </w:p>
        <w:p>
          <w:pPr>
            <w:spacing w:line="360" w:lineRule="auto"/>
            <w:rPr>
              <w:rFonts w:ascii="宋体" w:hAnsi="宋体" w:cs="宋体"/>
              <w:sz w:val="24"/>
            </w:rPr>
          </w:pPr>
          <w:r>
            <w:rPr>
              <w:rFonts w:hint="eastAsia" w:ascii="宋体" w:hAnsi="宋体" w:eastAsia="宋体" w:cs="宋体"/>
              <w:sz w:val="24"/>
              <w:szCs w:val="24"/>
            </w:rPr>
            <w:fldChar w:fldCharType="end"/>
          </w:r>
        </w:p>
      </w:sdtContent>
    </w:sdt>
    <w:p>
      <w:pPr>
        <w:pStyle w:val="2"/>
        <w:spacing w:before="200" w:after="200" w:line="360" w:lineRule="auto"/>
        <w:rPr>
          <w:rFonts w:hint="eastAsia" w:asciiTheme="minorEastAsia" w:hAnsiTheme="minorEastAsia"/>
          <w:sz w:val="28"/>
          <w:szCs w:val="28"/>
        </w:rPr>
        <w:sectPr>
          <w:footerReference r:id="rId4" w:type="default"/>
          <w:pgSz w:w="11906" w:h="16838"/>
          <w:pgMar w:top="1440" w:right="1800" w:bottom="1440" w:left="1800" w:header="851" w:footer="992" w:gutter="0"/>
          <w:pgNumType w:start="1"/>
          <w:cols w:space="425" w:num="1"/>
          <w:docGrid w:type="lines" w:linePitch="312" w:charSpace="0"/>
        </w:sectPr>
      </w:pPr>
      <w:bookmarkStart w:id="0" w:name="_Toc2912"/>
    </w:p>
    <w:p>
      <w:pPr>
        <w:pStyle w:val="2"/>
        <w:spacing w:before="200" w:after="200" w:line="360" w:lineRule="auto"/>
        <w:rPr>
          <w:rFonts w:hint="eastAsia" w:ascii="黑体" w:hAnsi="黑体" w:eastAsia="黑体" w:cs="黑体"/>
          <w:b w:val="0"/>
          <w:bCs w:val="0"/>
          <w:color w:val="auto"/>
          <w:kern w:val="0"/>
          <w:sz w:val="28"/>
          <w:szCs w:val="28"/>
          <w:lang w:val="en-US" w:eastAsia="zh-CN" w:bidi="ar-SA"/>
        </w:rPr>
      </w:pPr>
      <w:r>
        <w:rPr>
          <w:rFonts w:hint="eastAsia" w:ascii="黑体" w:hAnsi="黑体" w:eastAsia="黑体" w:cs="黑体"/>
          <w:b w:val="0"/>
          <w:bCs w:val="0"/>
          <w:color w:val="auto"/>
          <w:kern w:val="0"/>
          <w:sz w:val="28"/>
          <w:szCs w:val="28"/>
          <w:lang w:val="en-US" w:eastAsia="zh-CN" w:bidi="ar-SA"/>
        </w:rPr>
        <w:t>一、成果形成背景及主要解决的问题</w:t>
      </w:r>
      <w:bookmarkEnd w:id="0"/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ind w:firstLine="480" w:firstLineChars="200"/>
        <w:jc w:val="left"/>
        <w:textAlignment w:val="auto"/>
        <w:rPr>
          <w:rFonts w:hint="eastAsia" w:ascii="宋体" w:hAnsi="宋体" w:eastAsia="宋体" w:cs="宋体"/>
          <w:b w:val="0"/>
          <w:bCs w:val="0"/>
          <w:color w:val="auto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b w:val="0"/>
          <w:bCs w:val="0"/>
          <w:color w:val="auto"/>
          <w:sz w:val="24"/>
          <w:szCs w:val="24"/>
          <w:lang w:eastAsia="zh-CN"/>
        </w:rPr>
        <w:t>非物质文化遗产是中华民族优秀传统文化的重要组成部分，是全人类的宝贵财富。习近平总书记指出，要加强非物质文化遗产保护和传承，积极培养传承人，让非物质文化遗产绽放出更加迷人的光彩；要把非物质文化遗产保护传承和开发利用有机结合，实现中华文化的创造性转化和创新性发展；四川是产竹大省，要因地制宜发展竹产业，让竹林成为四川美丽乡村的一道风景线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ind w:firstLine="480" w:firstLineChars="200"/>
        <w:jc w:val="left"/>
        <w:textAlignment w:val="auto"/>
        <w:rPr>
          <w:rFonts w:hint="eastAsia" w:ascii="宋体" w:hAnsi="宋体" w:eastAsia="宋体" w:cs="宋体"/>
          <w:b w:val="0"/>
          <w:bCs w:val="0"/>
          <w:color w:val="auto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b w:val="0"/>
          <w:bCs w:val="0"/>
          <w:color w:val="auto"/>
          <w:sz w:val="24"/>
          <w:szCs w:val="24"/>
          <w:lang w:eastAsia="zh-CN"/>
        </w:rPr>
        <w:t>青神竹编是国家级非物质文化遗产。自1987年起，依托竹编资源，创办竹编专业，传承竹编文化，助推竹编产业，学校坚持探索已整整34年。为了强化非遗竹编专业建设、打造非遗竹编专业特色，2009年，申报市级课题《立足校企合作的竹编专业办学模式探究》（眉教发[2009]40）；2011年，在时任省委刘奇葆书记指示下，创办了“四川青神竹编艺术职业学校”；2013年，申报全国首批百个民族文化传承与创新示范专业点；2015年，申报四川省首批现代学徒制试点单位，确定竹编专业为现代学徒制试点专业；2017年，党的十九大提出实施乡村振兴战略，确立“三农”问题是决胜全面建成小康社会的关键；2018年，申报创省级特色专业。主动作为，课题组创造性地提出了以国家非遗竹编特色专业建设为依托的“二纬三联五构建”</w:t>
      </w:r>
      <w:r>
        <w:rPr>
          <w:rFonts w:hint="eastAsia" w:ascii="宋体" w:hAnsi="宋体" w:eastAsia="宋体" w:cs="宋体"/>
          <w:b w:val="0"/>
          <w:bCs w:val="0"/>
          <w:color w:val="auto"/>
          <w:sz w:val="24"/>
          <w:szCs w:val="24"/>
          <w:lang w:val="en-US" w:eastAsia="zh-CN"/>
        </w:rPr>
        <w:t>育人</w:t>
      </w:r>
      <w:r>
        <w:rPr>
          <w:rFonts w:hint="eastAsia" w:ascii="宋体" w:hAnsi="宋体" w:eastAsia="宋体" w:cs="宋体"/>
          <w:b w:val="0"/>
          <w:bCs w:val="0"/>
          <w:color w:val="auto"/>
          <w:sz w:val="24"/>
          <w:szCs w:val="24"/>
          <w:lang w:eastAsia="zh-CN"/>
        </w:rPr>
        <w:t>架构，解决了专业建设与专业育人过程中的系列问题；契合现代学徒制试点和省级特色专业创建，经过长达7年多的优化推广，提炼形成本成果。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ind w:firstLine="482" w:firstLineChars="200"/>
        <w:jc w:val="left"/>
        <w:textAlignment w:val="auto"/>
        <w:rPr>
          <w:rFonts w:hint="eastAsia" w:ascii="楷体_GB2312" w:hAnsi="楷体_GB2312" w:eastAsia="楷体_GB2312" w:cs="楷体_GB2312"/>
          <w:b/>
          <w:bCs/>
          <w:color w:val="auto"/>
          <w:kern w:val="0"/>
          <w:sz w:val="24"/>
          <w:szCs w:val="24"/>
        </w:rPr>
      </w:pPr>
      <w:r>
        <w:rPr>
          <w:rFonts w:hint="eastAsia" w:ascii="楷体_GB2312" w:hAnsi="楷体_GB2312" w:eastAsia="楷体_GB2312" w:cs="楷体_GB2312"/>
          <w:b/>
          <w:bCs/>
          <w:color w:val="auto"/>
          <w:kern w:val="0"/>
          <w:sz w:val="24"/>
          <w:szCs w:val="24"/>
        </w:rPr>
        <w:t>本成果主要解决了如下教学问题：</w:t>
      </w:r>
    </w:p>
    <w:p>
      <w:pPr>
        <w:pStyle w:val="3"/>
        <w:pageBreakBefore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440" w:lineRule="exact"/>
        <w:ind w:firstLine="482" w:firstLineChars="200"/>
        <w:textAlignment w:val="auto"/>
        <w:rPr>
          <w:rFonts w:hint="eastAsia" w:ascii="Times New Roman" w:hAnsi="Times New Roman" w:eastAsia="宋体" w:cs="Times New Roman"/>
          <w:b/>
          <w:bCs/>
          <w:color w:val="auto"/>
          <w:kern w:val="0"/>
          <w:sz w:val="24"/>
          <w:szCs w:val="24"/>
          <w:lang w:val="en-US" w:eastAsia="zh-CN" w:bidi="ar-SA"/>
        </w:rPr>
      </w:pPr>
      <w:bookmarkStart w:id="1" w:name="_Toc20764"/>
      <w:r>
        <w:rPr>
          <w:rFonts w:hint="eastAsia" w:ascii="Times New Roman" w:hAnsi="Times New Roman" w:eastAsia="宋体" w:cs="Times New Roman"/>
          <w:b/>
          <w:bCs/>
          <w:color w:val="auto"/>
          <w:kern w:val="0"/>
          <w:sz w:val="24"/>
          <w:szCs w:val="24"/>
          <w:lang w:val="en-US" w:eastAsia="zh-CN" w:bidi="ar-SA"/>
        </w:rPr>
        <w:t>解决了竹编专业育人价值取向不明的问题。</w:t>
      </w:r>
    </w:p>
    <w:p>
      <w:pPr>
        <w:pStyle w:val="3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440" w:lineRule="exact"/>
        <w:ind w:firstLine="480" w:firstLineChars="200"/>
        <w:textAlignment w:val="auto"/>
        <w:rPr>
          <w:rFonts w:hint="eastAsia" w:ascii="宋体" w:hAnsi="宋体" w:eastAsia="宋体" w:cs="宋体"/>
          <w:b w:val="0"/>
          <w:bCs w:val="0"/>
          <w:color w:val="auto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 w:val="0"/>
          <w:bCs w:val="0"/>
          <w:color w:val="auto"/>
          <w:kern w:val="2"/>
          <w:sz w:val="24"/>
          <w:szCs w:val="24"/>
          <w:lang w:val="en-US" w:eastAsia="zh-CN" w:bidi="ar-SA"/>
        </w:rPr>
        <w:t>传承非遗和助推产业是竹编专业建设的初衷，前者指向文化价值，后者瞄准经济价值。“经济价值”与“文化价值”是竹编专业育人的价值取向。</w:t>
      </w:r>
    </w:p>
    <w:p>
      <w:pPr>
        <w:pStyle w:val="3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440" w:lineRule="exact"/>
        <w:ind w:firstLine="482" w:firstLineChars="200"/>
        <w:textAlignment w:val="auto"/>
        <w:rPr>
          <w:rFonts w:hint="eastAsia" w:ascii="Times New Roman" w:hAnsi="Times New Roman" w:eastAsia="宋体" w:cs="Times New Roman"/>
          <w:b/>
          <w:bCs/>
          <w:color w:val="auto"/>
          <w:kern w:val="0"/>
          <w:sz w:val="24"/>
          <w:szCs w:val="24"/>
          <w:lang w:val="en-US" w:eastAsia="zh-CN" w:bidi="ar-SA"/>
        </w:rPr>
      </w:pPr>
      <w:r>
        <w:rPr>
          <w:rFonts w:hint="eastAsia" w:ascii="Times New Roman" w:hAnsi="Times New Roman" w:eastAsia="宋体" w:cs="Times New Roman"/>
          <w:b/>
          <w:bCs/>
          <w:color w:val="auto"/>
          <w:kern w:val="0"/>
          <w:sz w:val="24"/>
          <w:szCs w:val="24"/>
          <w:lang w:val="en-US" w:eastAsia="zh-CN" w:bidi="ar-SA"/>
        </w:rPr>
        <w:t>2.解决了竹编专业育人理念不明的问题。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ind w:firstLine="480" w:firstLineChars="200"/>
        <w:jc w:val="left"/>
        <w:textAlignment w:val="auto"/>
        <w:rPr>
          <w:rFonts w:hint="eastAsia" w:ascii="宋体" w:hAnsi="宋体" w:eastAsia="宋体" w:cs="宋体"/>
          <w:b w:val="0"/>
          <w:bCs w:val="0"/>
          <w:color w:val="auto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color w:val="auto"/>
          <w:sz w:val="24"/>
          <w:szCs w:val="24"/>
          <w:lang w:val="en-US" w:eastAsia="zh-CN"/>
        </w:rPr>
        <w:t>提出“三三”理念（做“三雅”教师、育“三心”学生、达“三人”目标），为竹编专业育人指明方向，明确了育人目标、育人标准、育人路径、</w:t>
      </w:r>
      <w:r>
        <w:rPr>
          <w:rFonts w:hint="eastAsia" w:ascii="宋体" w:hAnsi="宋体" w:eastAsia="宋体" w:cs="宋体"/>
          <w:b w:val="0"/>
          <w:bCs w:val="0"/>
          <w:color w:val="auto"/>
          <w:sz w:val="24"/>
          <w:szCs w:val="24"/>
          <w:lang w:eastAsia="zh-CN"/>
        </w:rPr>
        <w:t>育人团队、育人方式和育人原则，形成了专业育人思想。</w:t>
      </w:r>
    </w:p>
    <w:p>
      <w:pPr>
        <w:pStyle w:val="3"/>
        <w:pageBreakBefore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440" w:lineRule="exact"/>
        <w:ind w:firstLine="482" w:firstLineChars="200"/>
        <w:textAlignment w:val="auto"/>
        <w:rPr>
          <w:rFonts w:hint="eastAsia" w:ascii="Times New Roman" w:hAnsi="Times New Roman"/>
          <w:b/>
          <w:bCs/>
          <w:color w:val="auto"/>
          <w:kern w:val="0"/>
          <w:sz w:val="24"/>
          <w:szCs w:val="24"/>
          <w:lang w:val="en-US" w:eastAsia="zh-CN"/>
        </w:rPr>
      </w:pPr>
      <w:r>
        <w:rPr>
          <w:rFonts w:hint="eastAsia" w:ascii="Times New Roman" w:hAnsi="Times New Roman"/>
          <w:b/>
          <w:bCs/>
          <w:color w:val="auto"/>
          <w:kern w:val="0"/>
          <w:sz w:val="24"/>
          <w:szCs w:val="24"/>
          <w:lang w:val="en-US" w:eastAsia="zh-CN"/>
        </w:rPr>
        <w:t>解决了竹编专业育人无课程的问题。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ind w:firstLine="480" w:firstLineChars="200"/>
        <w:jc w:val="left"/>
        <w:textAlignment w:val="auto"/>
        <w:rPr>
          <w:rFonts w:hint="default" w:ascii="宋体" w:hAnsi="宋体" w:eastAsia="宋体" w:cs="宋体"/>
          <w:b w:val="0"/>
          <w:bCs w:val="0"/>
          <w:color w:val="auto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color w:val="auto"/>
          <w:sz w:val="24"/>
          <w:szCs w:val="24"/>
          <w:lang w:val="en-US" w:eastAsia="zh-CN"/>
        </w:rPr>
        <w:t>提出了“二三三”（两基点、三尊重、三化）课程资源开发模式，形成了竹编专业“三三五五”（三门核心素养课、三门核心操作课、五门专业支撑课、五门专业选修课）课程体系，编写专业教材11册（正式出版5册）。</w:t>
      </w:r>
    </w:p>
    <w:p>
      <w:pPr>
        <w:pStyle w:val="3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440" w:lineRule="exact"/>
        <w:ind w:firstLine="482" w:firstLineChars="200"/>
        <w:textAlignment w:val="auto"/>
        <w:rPr>
          <w:rFonts w:hint="eastAsia" w:ascii="Times New Roman" w:hAnsi="Times New Roman"/>
          <w:b/>
          <w:bCs/>
          <w:color w:val="auto"/>
          <w:kern w:val="0"/>
          <w:sz w:val="24"/>
          <w:szCs w:val="24"/>
          <w:lang w:val="en-US" w:eastAsia="zh-CN"/>
        </w:rPr>
      </w:pPr>
      <w:r>
        <w:rPr>
          <w:rFonts w:hint="eastAsia" w:ascii="Times New Roman" w:hAnsi="Times New Roman"/>
          <w:b/>
          <w:bCs/>
          <w:color w:val="auto"/>
          <w:kern w:val="0"/>
          <w:sz w:val="24"/>
          <w:szCs w:val="24"/>
          <w:lang w:val="en-US" w:eastAsia="zh-CN"/>
        </w:rPr>
        <w:t>4.解决了竹编专业教学模式和方法问题。</w:t>
      </w:r>
    </w:p>
    <w:p>
      <w:pPr>
        <w:pStyle w:val="3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440" w:lineRule="exact"/>
        <w:ind w:firstLine="480" w:firstLineChars="200"/>
        <w:textAlignment w:val="auto"/>
        <w:rPr>
          <w:rFonts w:hint="eastAsia" w:ascii="Times New Roman" w:hAnsi="Times New Roman" w:eastAsia="宋体"/>
          <w:b w:val="0"/>
          <w:bCs w:val="0"/>
          <w:color w:val="auto"/>
          <w:kern w:val="0"/>
          <w:sz w:val="24"/>
          <w:szCs w:val="24"/>
          <w:lang w:eastAsia="zh-CN"/>
        </w:rPr>
      </w:pPr>
      <w:r>
        <w:rPr>
          <w:rFonts w:hint="eastAsia" w:ascii="Times New Roman" w:hAnsi="Times New Roman"/>
          <w:b w:val="0"/>
          <w:bCs w:val="0"/>
          <w:color w:val="auto"/>
          <w:kern w:val="0"/>
          <w:sz w:val="24"/>
          <w:szCs w:val="24"/>
          <w:lang w:eastAsia="zh-CN"/>
        </w:rPr>
        <w:t>构建了“三融三进三课堂”（三融：非遗文化融进、名企融合、名师融入；三进：企业进文化进校园、大师进课堂、师生技能实践进生产；三课堂：校园课堂、网上课堂、企业课堂）教学模式，改进教学方法，实现育用对接，人才培养落地落实。</w:t>
      </w:r>
    </w:p>
    <w:p>
      <w:pPr>
        <w:pStyle w:val="3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440" w:lineRule="exact"/>
        <w:ind w:firstLine="482" w:firstLineChars="200"/>
        <w:textAlignment w:val="auto"/>
        <w:rPr>
          <w:rFonts w:hint="eastAsia" w:ascii="Times New Roman" w:hAnsi="Times New Roman"/>
          <w:b/>
          <w:bCs/>
          <w:color w:val="auto"/>
          <w:kern w:val="0"/>
          <w:sz w:val="24"/>
          <w:szCs w:val="24"/>
          <w:lang w:val="en-US" w:eastAsia="zh-CN"/>
        </w:rPr>
      </w:pPr>
      <w:r>
        <w:rPr>
          <w:rFonts w:hint="eastAsia" w:ascii="Times New Roman" w:hAnsi="Times New Roman"/>
          <w:b/>
          <w:bCs/>
          <w:color w:val="auto"/>
          <w:kern w:val="0"/>
          <w:sz w:val="24"/>
          <w:szCs w:val="24"/>
          <w:lang w:val="en-US" w:eastAsia="zh-CN"/>
        </w:rPr>
        <w:t>5.解决了竹编专业教师团队建设问题。</w:t>
      </w:r>
    </w:p>
    <w:p>
      <w:pPr>
        <w:pStyle w:val="3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440" w:lineRule="exact"/>
        <w:ind w:firstLine="480" w:firstLineChars="200"/>
        <w:textAlignment w:val="auto"/>
        <w:rPr>
          <w:rFonts w:hint="eastAsia" w:ascii="Times New Roman" w:hAnsi="Times New Roman"/>
          <w:b w:val="0"/>
          <w:bCs w:val="0"/>
          <w:color w:val="auto"/>
          <w:kern w:val="0"/>
          <w:sz w:val="24"/>
          <w:szCs w:val="24"/>
          <w:lang w:eastAsia="zh-CN"/>
        </w:rPr>
      </w:pPr>
      <w:r>
        <w:rPr>
          <w:rFonts w:hint="eastAsia" w:ascii="Times New Roman" w:hAnsi="Times New Roman"/>
          <w:b w:val="0"/>
          <w:bCs w:val="0"/>
          <w:color w:val="auto"/>
          <w:kern w:val="0"/>
          <w:sz w:val="24"/>
          <w:szCs w:val="24"/>
          <w:lang w:eastAsia="zh-CN"/>
        </w:rPr>
        <w:t>职前培养，职后培训。校企“双主体”育人，组建“大师+教师+师傅”特色教学团队，培养“三雅”教师。</w:t>
      </w:r>
    </w:p>
    <w:p>
      <w:pPr>
        <w:spacing w:line="360" w:lineRule="auto"/>
        <w:ind w:firstLine="562" w:firstLineChars="200"/>
        <w:outlineLvl w:val="0"/>
        <w:rPr>
          <w:rFonts w:asciiTheme="minorEastAsia" w:hAnsiTheme="minorEastAsia"/>
          <w:b/>
          <w:bCs/>
          <w:kern w:val="44"/>
          <w:sz w:val="28"/>
          <w:szCs w:val="28"/>
        </w:rPr>
      </w:pPr>
      <w:r>
        <w:rPr>
          <w:rFonts w:hint="eastAsia" w:asciiTheme="minorEastAsia" w:hAnsiTheme="minorEastAsia"/>
          <w:b/>
          <w:bCs/>
          <w:kern w:val="44"/>
          <w:sz w:val="28"/>
          <w:szCs w:val="28"/>
        </w:rPr>
        <w:t>二、成果解决问题的过程与方法</w:t>
      </w:r>
      <w:bookmarkEnd w:id="1"/>
    </w:p>
    <w:p>
      <w:pPr>
        <w:spacing w:line="360" w:lineRule="auto"/>
        <w:ind w:firstLine="480" w:firstLineChars="200"/>
        <w:rPr>
          <w:rFonts w:ascii="Times New Roman" w:hAnsi="Times New Roman" w:eastAsia="宋体" w:cs="Times New Roman"/>
          <w:kern w:val="0"/>
          <w:sz w:val="24"/>
          <w:szCs w:val="24"/>
        </w:rPr>
      </w:pPr>
      <w:r>
        <w:rPr>
          <w:rFonts w:hint="eastAsia" w:ascii="Times New Roman" w:hAnsi="Times New Roman" w:eastAsia="宋体" w:cs="Times New Roman"/>
          <w:kern w:val="0"/>
          <w:sz w:val="24"/>
          <w:szCs w:val="24"/>
        </w:rPr>
        <w:t>产教融合是职业教育高质量发展的支撑点。学校竹编专业自创办伊始，就植根产业，培养人才，传承非遗，助推产业。34年的探索、研究、实践，解决了专业建设和人才培养中的系列问题，实现了“一个专业支撑一个产业”，发展了绿色经济，助力了乡村振兴。</w:t>
      </w:r>
    </w:p>
    <w:p>
      <w:pPr>
        <w:pStyle w:val="3"/>
        <w:spacing w:before="60" w:after="40" w:line="360" w:lineRule="auto"/>
        <w:ind w:firstLine="482" w:firstLineChars="200"/>
        <w:rPr>
          <w:rFonts w:ascii="宋体" w:hAnsi="宋体" w:eastAsia="宋体"/>
          <w:sz w:val="24"/>
          <w:szCs w:val="24"/>
        </w:rPr>
      </w:pPr>
      <w:bookmarkStart w:id="2" w:name="_Toc12769"/>
      <w:r>
        <w:rPr>
          <w:rFonts w:hint="eastAsia" w:ascii="宋体" w:hAnsi="宋体" w:eastAsia="宋体"/>
          <w:sz w:val="24"/>
          <w:szCs w:val="24"/>
        </w:rPr>
        <w:t>（一</w:t>
      </w:r>
      <w:r>
        <w:rPr>
          <w:rFonts w:ascii="宋体" w:hAnsi="宋体" w:eastAsia="宋体"/>
          <w:sz w:val="24"/>
          <w:szCs w:val="24"/>
        </w:rPr>
        <w:t>）</w:t>
      </w:r>
      <w:r>
        <w:rPr>
          <w:rFonts w:hint="eastAsia" w:ascii="宋体" w:hAnsi="宋体" w:eastAsia="宋体"/>
          <w:sz w:val="24"/>
          <w:szCs w:val="24"/>
        </w:rPr>
        <w:t>探索阶段</w:t>
      </w:r>
      <w:r>
        <w:rPr>
          <w:rFonts w:hint="eastAsia" w:ascii="宋体" w:hAnsi="宋体" w:eastAsia="宋体" w:cs="宋体"/>
          <w:kern w:val="0"/>
          <w:sz w:val="24"/>
        </w:rPr>
        <w:t>（1987—2009）</w:t>
      </w:r>
      <w:bookmarkEnd w:id="2"/>
    </w:p>
    <w:p>
      <w:pPr>
        <w:spacing w:line="440" w:lineRule="exact"/>
        <w:ind w:firstLine="480" w:firstLineChars="200"/>
        <w:rPr>
          <w:rFonts w:ascii="宋体" w:hAnsi="宋体" w:eastAsia="宋体" w:cs="宋体"/>
          <w:kern w:val="0"/>
          <w:sz w:val="24"/>
          <w:szCs w:val="32"/>
        </w:rPr>
      </w:pPr>
      <w:r>
        <w:rPr>
          <w:rFonts w:ascii="Times New Roman" w:hAnsi="Times New Roman" w:eastAsia="宋体" w:cs="Times New Roman"/>
          <w:kern w:val="0"/>
          <w:sz w:val="24"/>
          <w:szCs w:val="24"/>
        </w:rPr>
        <w:t>开展调研和需求分析，</w:t>
      </w:r>
      <w:r>
        <w:rPr>
          <w:rFonts w:hint="eastAsia" w:ascii="Times New Roman" w:hAnsi="Times New Roman" w:eastAsia="宋体" w:cs="Times New Roman"/>
          <w:kern w:val="0"/>
          <w:sz w:val="24"/>
          <w:szCs w:val="24"/>
        </w:rPr>
        <w:t>制定</w:t>
      </w:r>
      <w:r>
        <w:rPr>
          <w:rFonts w:ascii="Times New Roman" w:hAnsi="Times New Roman" w:eastAsia="宋体" w:cs="Times New Roman"/>
          <w:kern w:val="0"/>
          <w:sz w:val="24"/>
          <w:szCs w:val="24"/>
        </w:rPr>
        <w:t>竹编专业建设</w:t>
      </w:r>
      <w:r>
        <w:rPr>
          <w:rFonts w:hint="eastAsia" w:ascii="Times New Roman" w:hAnsi="Times New Roman" w:eastAsia="宋体" w:cs="Times New Roman"/>
          <w:kern w:val="0"/>
          <w:sz w:val="24"/>
          <w:szCs w:val="24"/>
        </w:rPr>
        <w:t>方案</w:t>
      </w:r>
      <w:r>
        <w:rPr>
          <w:rFonts w:ascii="Times New Roman" w:hAnsi="Times New Roman" w:eastAsia="宋体" w:cs="Times New Roman"/>
          <w:kern w:val="0"/>
          <w:sz w:val="24"/>
          <w:szCs w:val="24"/>
        </w:rPr>
        <w:t>，</w:t>
      </w:r>
      <w:r>
        <w:rPr>
          <w:rFonts w:hint="eastAsia" w:ascii="Times New Roman" w:hAnsi="Times New Roman" w:eastAsia="宋体" w:cs="Times New Roman"/>
          <w:kern w:val="0"/>
          <w:sz w:val="24"/>
          <w:szCs w:val="24"/>
        </w:rPr>
        <w:t>竹编专业</w:t>
      </w:r>
      <w:r>
        <w:rPr>
          <w:rFonts w:ascii="Times New Roman" w:hAnsi="Times New Roman" w:eastAsia="宋体" w:cs="Times New Roman"/>
          <w:kern w:val="0"/>
          <w:sz w:val="24"/>
          <w:szCs w:val="24"/>
        </w:rPr>
        <w:t>从无到有、由</w:t>
      </w:r>
      <w:r>
        <w:rPr>
          <w:rFonts w:hint="eastAsia" w:ascii="Times New Roman" w:hAnsi="Times New Roman" w:eastAsia="宋体" w:cs="Times New Roman"/>
          <w:kern w:val="0"/>
          <w:sz w:val="24"/>
          <w:szCs w:val="24"/>
        </w:rPr>
        <w:t>弱</w:t>
      </w:r>
      <w:r>
        <w:rPr>
          <w:rFonts w:ascii="Times New Roman" w:hAnsi="Times New Roman" w:eastAsia="宋体" w:cs="Times New Roman"/>
          <w:kern w:val="0"/>
          <w:sz w:val="24"/>
          <w:szCs w:val="24"/>
        </w:rPr>
        <w:t>到</w:t>
      </w:r>
      <w:r>
        <w:rPr>
          <w:rFonts w:hint="eastAsia" w:ascii="Times New Roman" w:hAnsi="Times New Roman" w:eastAsia="宋体" w:cs="Times New Roman"/>
          <w:kern w:val="0"/>
          <w:sz w:val="24"/>
          <w:szCs w:val="24"/>
        </w:rPr>
        <w:t>强。1</w:t>
      </w:r>
      <w:r>
        <w:rPr>
          <w:rFonts w:hint="eastAsia" w:ascii="宋体" w:hAnsi="宋体" w:eastAsia="宋体" w:cs="宋体"/>
          <w:kern w:val="0"/>
          <w:sz w:val="24"/>
          <w:szCs w:val="32"/>
        </w:rPr>
        <w:t>98</w:t>
      </w:r>
      <w:r>
        <w:rPr>
          <w:rFonts w:ascii="宋体" w:hAnsi="宋体" w:eastAsia="宋体" w:cs="宋体"/>
          <w:kern w:val="0"/>
          <w:sz w:val="24"/>
          <w:szCs w:val="32"/>
        </w:rPr>
        <w:t>7</w:t>
      </w:r>
      <w:r>
        <w:rPr>
          <w:rFonts w:hint="eastAsia" w:ascii="宋体" w:hAnsi="宋体" w:eastAsia="宋体" w:cs="宋体"/>
          <w:kern w:val="0"/>
          <w:sz w:val="24"/>
          <w:szCs w:val="32"/>
        </w:rPr>
        <w:t>年，学校申办了竹编专业，是全国唯一将竹编技艺引入学历教育，培养竹编专技人才的专业。学校根据当时职业教育发展模式和特点，开办校办工厂直接对接产业</w:t>
      </w:r>
      <w:r>
        <w:rPr>
          <w:rFonts w:hint="eastAsia" w:ascii="宋体" w:hAnsi="宋体" w:eastAsia="宋体" w:cs="宋体"/>
          <w:kern w:val="0"/>
          <w:sz w:val="24"/>
          <w:szCs w:val="32"/>
          <w:lang w:eastAsia="zh-CN"/>
        </w:rPr>
        <w:t>育人</w:t>
      </w:r>
      <w:r>
        <w:rPr>
          <w:rFonts w:hint="eastAsia" w:ascii="宋体" w:hAnsi="宋体" w:eastAsia="宋体" w:cs="宋体"/>
          <w:kern w:val="0"/>
          <w:sz w:val="24"/>
          <w:szCs w:val="32"/>
        </w:rPr>
        <w:t>，聘请大师当师傅当教师，产业需要什么教什么，产业用什么学什么，产业引导教学计划和教学内容。由于缺乏专业建设经验和模式，到本世纪初，学校一直按传统方式，培养人才，助推竹产业发展，助力青神竹艺“申遗”。怎样建设专业是这一时期的主要任务。</w:t>
      </w:r>
    </w:p>
    <w:p>
      <w:pPr>
        <w:spacing w:line="360" w:lineRule="auto"/>
        <w:ind w:firstLine="480" w:firstLineChars="200"/>
        <w:rPr>
          <w:rFonts w:ascii="宋体" w:hAnsi="宋体" w:eastAsia="宋体" w:cs="宋体"/>
          <w:kern w:val="0"/>
          <w:sz w:val="24"/>
          <w:szCs w:val="32"/>
        </w:rPr>
      </w:pPr>
      <w:r>
        <w:rPr>
          <w:rFonts w:hint="eastAsia" w:ascii="宋体" w:hAnsi="宋体" w:eastAsia="宋体" w:cs="宋体"/>
          <w:kern w:val="0"/>
          <w:sz w:val="24"/>
          <w:szCs w:val="32"/>
        </w:rPr>
        <w:t>随着职业教育的发展，专业建设标准提高，学校开始针对专业建设，</w:t>
      </w:r>
      <w:r>
        <w:rPr>
          <w:rFonts w:hint="eastAsia" w:ascii="宋体" w:hAnsi="宋体" w:eastAsia="宋体" w:cs="宋体"/>
          <w:kern w:val="0"/>
          <w:sz w:val="24"/>
          <w:szCs w:val="32"/>
          <w:lang w:eastAsia="zh-CN"/>
        </w:rPr>
        <w:t>开展</w:t>
      </w:r>
      <w:r>
        <w:rPr>
          <w:rFonts w:hint="eastAsia" w:ascii="宋体" w:hAnsi="宋体" w:eastAsia="宋体" w:cs="宋体"/>
          <w:kern w:val="0"/>
          <w:sz w:val="24"/>
          <w:szCs w:val="32"/>
        </w:rPr>
        <w:t>市场调研，探索研究专业建设目标、内涵、模式</w:t>
      </w:r>
      <w:r>
        <w:rPr>
          <w:rFonts w:hint="eastAsia" w:ascii="宋体" w:hAnsi="宋体" w:eastAsia="宋体" w:cs="宋体"/>
          <w:kern w:val="0"/>
          <w:sz w:val="24"/>
          <w:szCs w:val="32"/>
          <w:lang w:eastAsia="zh-CN"/>
        </w:rPr>
        <w:t>，</w:t>
      </w:r>
      <w:r>
        <w:rPr>
          <w:rFonts w:hint="eastAsia" w:ascii="宋体" w:hAnsi="宋体" w:eastAsia="宋体" w:cs="宋体"/>
          <w:kern w:val="0"/>
          <w:sz w:val="24"/>
          <w:szCs w:val="32"/>
        </w:rPr>
        <w:t>对重大问题，开展专门研究。</w:t>
      </w:r>
    </w:p>
    <w:p>
      <w:pPr>
        <w:pStyle w:val="3"/>
        <w:spacing w:before="60" w:after="40" w:line="360" w:lineRule="auto"/>
        <w:ind w:firstLine="482" w:firstLineChars="200"/>
        <w:rPr>
          <w:rFonts w:ascii="宋体" w:hAnsi="宋体" w:eastAsia="宋体"/>
          <w:sz w:val="24"/>
          <w:szCs w:val="24"/>
        </w:rPr>
      </w:pPr>
      <w:bookmarkStart w:id="3" w:name="_Toc25681"/>
      <w:r>
        <w:rPr>
          <w:rFonts w:hint="eastAsia" w:ascii="宋体" w:hAnsi="宋体" w:eastAsia="宋体"/>
          <w:sz w:val="24"/>
          <w:szCs w:val="24"/>
        </w:rPr>
        <w:t>（二）创新阶段（2009—2014）</w:t>
      </w:r>
      <w:bookmarkEnd w:id="3"/>
    </w:p>
    <w:p>
      <w:pPr>
        <w:spacing w:line="360" w:lineRule="auto"/>
        <w:ind w:firstLine="480" w:firstLineChars="200"/>
        <w:rPr>
          <w:rFonts w:ascii="宋体" w:eastAsia="宋体"/>
          <w:sz w:val="24"/>
        </w:rPr>
      </w:pPr>
      <w:r>
        <w:rPr>
          <w:rFonts w:hint="eastAsia" w:ascii="宋体" w:hAnsi="宋体" w:eastAsia="宋体" w:cs="宋体"/>
          <w:kern w:val="0"/>
          <w:sz w:val="24"/>
          <w:szCs w:val="32"/>
        </w:rPr>
        <w:t>坚持市场导向，开展校企合作，形成“双主体”育人合力。</w:t>
      </w:r>
      <w:r>
        <w:rPr>
          <w:rFonts w:hint="eastAsia" w:ascii="宋体" w:eastAsia="宋体"/>
          <w:sz w:val="24"/>
        </w:rPr>
        <w:t>学校从“创市重专业”、“校企合作”构建“双主体”育人等方面设计专业建设，开始探讨专业建设目标、人才培养模式及</w:t>
      </w:r>
      <w:r>
        <w:rPr>
          <w:rFonts w:hint="eastAsia" w:ascii="宋体" w:hAnsi="宋体" w:eastAsia="宋体" w:cs="宋体"/>
          <w:kern w:val="0"/>
          <w:sz w:val="24"/>
          <w:szCs w:val="32"/>
        </w:rPr>
        <w:t>校本教材开发</w:t>
      </w:r>
      <w:r>
        <w:rPr>
          <w:rFonts w:hint="eastAsia" w:ascii="宋体" w:eastAsia="宋体"/>
          <w:sz w:val="24"/>
        </w:rPr>
        <w:t>等问题。</w:t>
      </w:r>
    </w:p>
    <w:p>
      <w:pPr>
        <w:numPr>
          <w:ilvl w:val="0"/>
          <w:numId w:val="3"/>
        </w:numPr>
        <w:spacing w:line="360" w:lineRule="auto"/>
        <w:ind w:firstLine="480" w:firstLineChars="200"/>
        <w:rPr>
          <w:rFonts w:hint="eastAsia" w:ascii="宋体" w:hAnsi="宋体" w:eastAsia="宋体" w:cs="宋体"/>
          <w:kern w:val="0"/>
          <w:sz w:val="24"/>
          <w:szCs w:val="32"/>
        </w:rPr>
      </w:pPr>
      <w:r>
        <w:rPr>
          <w:rFonts w:hint="eastAsia" w:ascii="宋体" w:hAnsi="宋体" w:eastAsia="宋体" w:cs="宋体"/>
          <w:kern w:val="0"/>
          <w:sz w:val="24"/>
          <w:szCs w:val="32"/>
        </w:rPr>
        <w:t>申报课题，开展专业建设研究，</w:t>
      </w:r>
      <w:r>
        <w:rPr>
          <w:rFonts w:hint="eastAsia" w:ascii="宋体" w:hAnsi="宋体" w:eastAsia="宋体" w:cs="宋体"/>
          <w:kern w:val="0"/>
          <w:sz w:val="24"/>
          <w:szCs w:val="32"/>
          <w:lang w:eastAsia="zh-CN"/>
        </w:rPr>
        <w:t>提升专业建设水平。在课题研究过程中，</w:t>
      </w:r>
      <w:r>
        <w:rPr>
          <w:rFonts w:hint="eastAsia" w:ascii="宋体" w:hAnsi="宋体" w:eastAsia="宋体" w:cs="宋体"/>
          <w:kern w:val="0"/>
          <w:sz w:val="24"/>
          <w:szCs w:val="32"/>
        </w:rPr>
        <w:t>形成课题研究“五字”诀：</w:t>
      </w:r>
    </w:p>
    <w:p>
      <w:pPr>
        <w:numPr>
          <w:ilvl w:val="0"/>
          <w:numId w:val="0"/>
        </w:numPr>
        <w:spacing w:line="360" w:lineRule="auto"/>
        <w:ind w:firstLine="960" w:firstLineChars="400"/>
        <w:rPr>
          <w:rFonts w:hint="eastAsia" w:ascii="宋体" w:hAnsi="宋体" w:eastAsia="宋体" w:cs="宋体"/>
          <w:kern w:val="0"/>
          <w:sz w:val="24"/>
          <w:szCs w:val="32"/>
        </w:rPr>
      </w:pPr>
      <w:r>
        <w:rPr>
          <w:rFonts w:hint="eastAsia" w:ascii="宋体" w:hAnsi="宋体" w:eastAsia="宋体" w:cs="宋体"/>
          <w:kern w:val="0"/>
          <w:sz w:val="24"/>
          <w:szCs w:val="32"/>
        </w:rPr>
        <w:t>融</w:t>
      </w:r>
      <w:r>
        <w:rPr>
          <w:rFonts w:hint="eastAsia" w:ascii="宋体" w:hAnsi="宋体" w:eastAsia="宋体" w:cs="宋体"/>
          <w:kern w:val="0"/>
          <w:sz w:val="24"/>
          <w:szCs w:val="32"/>
          <w:lang w:eastAsia="zh-CN"/>
        </w:rPr>
        <w:t>：</w:t>
      </w:r>
      <w:r>
        <w:rPr>
          <w:rFonts w:hint="eastAsia" w:ascii="宋体" w:hAnsi="宋体" w:eastAsia="宋体" w:cs="宋体"/>
          <w:kern w:val="0"/>
          <w:sz w:val="24"/>
          <w:szCs w:val="32"/>
        </w:rPr>
        <w:t>产教融合、非遗资源禀赋与专业建设融通；</w:t>
      </w:r>
    </w:p>
    <w:p>
      <w:pPr>
        <w:numPr>
          <w:ilvl w:val="0"/>
          <w:numId w:val="0"/>
        </w:numPr>
        <w:spacing w:line="360" w:lineRule="auto"/>
        <w:ind w:firstLine="960" w:firstLineChars="400"/>
        <w:rPr>
          <w:rFonts w:hint="eastAsia" w:ascii="宋体" w:hAnsi="宋体" w:eastAsia="宋体" w:cs="宋体"/>
          <w:kern w:val="0"/>
          <w:sz w:val="24"/>
          <w:szCs w:val="32"/>
        </w:rPr>
      </w:pPr>
      <w:r>
        <w:rPr>
          <w:rFonts w:hint="eastAsia" w:ascii="宋体" w:hAnsi="宋体" w:eastAsia="宋体" w:cs="宋体"/>
          <w:kern w:val="0"/>
          <w:sz w:val="24"/>
          <w:szCs w:val="32"/>
        </w:rPr>
        <w:t>活</w:t>
      </w:r>
      <w:r>
        <w:rPr>
          <w:rFonts w:hint="eastAsia" w:ascii="宋体" w:hAnsi="宋体" w:eastAsia="宋体" w:cs="宋体"/>
          <w:kern w:val="0"/>
          <w:sz w:val="24"/>
          <w:szCs w:val="32"/>
          <w:lang w:eastAsia="zh-CN"/>
        </w:rPr>
        <w:t>：</w:t>
      </w:r>
      <w:r>
        <w:rPr>
          <w:rFonts w:hint="eastAsia" w:ascii="宋体" w:hAnsi="宋体" w:eastAsia="宋体" w:cs="宋体"/>
          <w:kern w:val="0"/>
          <w:sz w:val="24"/>
          <w:szCs w:val="32"/>
        </w:rPr>
        <w:t>保持课题研究的灵活性，避免墨守成规；</w:t>
      </w:r>
    </w:p>
    <w:p>
      <w:pPr>
        <w:numPr>
          <w:ilvl w:val="0"/>
          <w:numId w:val="0"/>
        </w:numPr>
        <w:spacing w:line="360" w:lineRule="auto"/>
        <w:ind w:firstLine="960" w:firstLineChars="400"/>
        <w:rPr>
          <w:rFonts w:hint="eastAsia" w:ascii="宋体" w:hAnsi="宋体" w:eastAsia="宋体" w:cs="宋体"/>
          <w:kern w:val="0"/>
          <w:sz w:val="24"/>
          <w:szCs w:val="32"/>
        </w:rPr>
      </w:pPr>
      <w:r>
        <w:rPr>
          <w:rFonts w:hint="eastAsia" w:ascii="宋体" w:hAnsi="宋体" w:eastAsia="宋体" w:cs="宋体"/>
          <w:kern w:val="0"/>
          <w:sz w:val="24"/>
          <w:szCs w:val="32"/>
        </w:rPr>
        <w:t>实</w:t>
      </w:r>
      <w:r>
        <w:rPr>
          <w:rFonts w:hint="eastAsia" w:ascii="宋体" w:hAnsi="宋体" w:eastAsia="宋体" w:cs="宋体"/>
          <w:kern w:val="0"/>
          <w:sz w:val="24"/>
          <w:szCs w:val="32"/>
          <w:lang w:eastAsia="zh-CN"/>
        </w:rPr>
        <w:t>：</w:t>
      </w:r>
      <w:r>
        <w:rPr>
          <w:rFonts w:hint="eastAsia" w:ascii="宋体" w:hAnsi="宋体" w:eastAsia="宋体" w:cs="宋体"/>
          <w:kern w:val="0"/>
          <w:sz w:val="24"/>
          <w:szCs w:val="32"/>
        </w:rPr>
        <w:t>工作落实、责任明确、任务到人；</w:t>
      </w:r>
    </w:p>
    <w:p>
      <w:pPr>
        <w:numPr>
          <w:ilvl w:val="0"/>
          <w:numId w:val="0"/>
        </w:numPr>
        <w:spacing w:line="360" w:lineRule="auto"/>
        <w:ind w:firstLine="960" w:firstLineChars="400"/>
        <w:rPr>
          <w:rFonts w:hint="eastAsia" w:ascii="宋体" w:hAnsi="宋体" w:eastAsia="宋体" w:cs="宋体"/>
          <w:kern w:val="0"/>
          <w:sz w:val="24"/>
          <w:szCs w:val="32"/>
        </w:rPr>
      </w:pPr>
      <w:r>
        <w:rPr>
          <w:rFonts w:hint="eastAsia" w:ascii="宋体" w:hAnsi="宋体" w:eastAsia="宋体" w:cs="宋体"/>
          <w:kern w:val="0"/>
          <w:sz w:val="24"/>
          <w:szCs w:val="32"/>
        </w:rPr>
        <w:t>新</w:t>
      </w:r>
      <w:r>
        <w:rPr>
          <w:rFonts w:hint="eastAsia" w:ascii="宋体" w:hAnsi="宋体" w:eastAsia="宋体" w:cs="宋体"/>
          <w:kern w:val="0"/>
          <w:sz w:val="24"/>
          <w:szCs w:val="32"/>
          <w:lang w:eastAsia="zh-CN"/>
        </w:rPr>
        <w:t>：</w:t>
      </w:r>
      <w:r>
        <w:rPr>
          <w:rFonts w:hint="eastAsia" w:ascii="宋体" w:hAnsi="宋体" w:eastAsia="宋体" w:cs="宋体"/>
          <w:kern w:val="0"/>
          <w:sz w:val="24"/>
          <w:szCs w:val="32"/>
        </w:rPr>
        <w:t>研究方法、理念、成果创新；</w:t>
      </w:r>
    </w:p>
    <w:p>
      <w:pPr>
        <w:numPr>
          <w:ilvl w:val="0"/>
          <w:numId w:val="0"/>
        </w:numPr>
        <w:spacing w:line="360" w:lineRule="auto"/>
        <w:ind w:firstLine="960" w:firstLineChars="400"/>
        <w:rPr>
          <w:rFonts w:ascii="宋体" w:hAnsi="宋体" w:eastAsia="宋体" w:cs="宋体"/>
          <w:kern w:val="0"/>
          <w:sz w:val="24"/>
          <w:szCs w:val="32"/>
        </w:rPr>
      </w:pPr>
      <w:r>
        <w:rPr>
          <w:rFonts w:hint="eastAsia" w:ascii="宋体" w:hAnsi="宋体" w:eastAsia="宋体" w:cs="宋体"/>
          <w:kern w:val="0"/>
          <w:sz w:val="24"/>
          <w:szCs w:val="32"/>
        </w:rPr>
        <w:t>引</w:t>
      </w:r>
      <w:r>
        <w:rPr>
          <w:rFonts w:hint="eastAsia" w:ascii="宋体" w:hAnsi="宋体" w:eastAsia="宋体" w:cs="宋体"/>
          <w:kern w:val="0"/>
          <w:sz w:val="24"/>
          <w:szCs w:val="32"/>
          <w:lang w:eastAsia="zh-CN"/>
        </w:rPr>
        <w:t>：</w:t>
      </w:r>
      <w:r>
        <w:rPr>
          <w:rFonts w:hint="eastAsia" w:ascii="宋体" w:hAnsi="宋体" w:eastAsia="宋体" w:cs="宋体"/>
          <w:kern w:val="0"/>
          <w:sz w:val="24"/>
          <w:szCs w:val="32"/>
        </w:rPr>
        <w:t>科学理念引领、专家引导。</w: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kern w:val="0"/>
          <w:sz w:val="24"/>
          <w:szCs w:val="32"/>
        </w:rPr>
      </w:pPr>
      <w:r>
        <w:rPr>
          <w:rFonts w:hint="eastAsia" w:ascii="宋体" w:hAnsi="宋体" w:eastAsia="宋体" w:cs="宋体"/>
          <w:kern w:val="0"/>
          <w:sz w:val="24"/>
          <w:szCs w:val="32"/>
        </w:rPr>
        <w:t>（2）校企联合、政校联动、政企联通，汇聚“三主体”合力，坚持“经济”与“文化”两大价值追寻，首创特色“四内涵”，</w:t>
      </w:r>
      <w:r>
        <w:rPr>
          <w:rFonts w:hint="eastAsia" w:ascii="宋体" w:hAnsi="宋体" w:eastAsia="宋体" w:cs="宋体"/>
          <w:kern w:val="0"/>
          <w:sz w:val="24"/>
          <w:szCs w:val="32"/>
          <w:lang w:val="en-US" w:eastAsia="zh-CN"/>
        </w:rPr>
        <w:t>形成</w:t>
      </w:r>
      <w:r>
        <w:rPr>
          <w:rFonts w:hint="eastAsia" w:ascii="宋体" w:hAnsi="宋体" w:eastAsia="宋体" w:cs="宋体"/>
          <w:kern w:val="0"/>
          <w:sz w:val="24"/>
          <w:szCs w:val="32"/>
        </w:rPr>
        <w:t>了非遗竹编特色专业</w:t>
      </w:r>
      <w:r>
        <w:rPr>
          <w:rFonts w:hint="eastAsia" w:ascii="宋体" w:hAnsi="宋体" w:eastAsia="宋体" w:cs="宋体"/>
          <w:kern w:val="0"/>
          <w:sz w:val="24"/>
          <w:szCs w:val="32"/>
          <w:lang w:val="en-US" w:eastAsia="zh-CN"/>
        </w:rPr>
        <w:t>创建策略</w:t>
      </w:r>
      <w:r>
        <w:rPr>
          <w:rFonts w:hint="eastAsia" w:ascii="宋体" w:hAnsi="宋体" w:eastAsia="宋体" w:cs="宋体"/>
          <w:kern w:val="0"/>
          <w:sz w:val="24"/>
          <w:szCs w:val="32"/>
        </w:rPr>
        <w:t>。</w:t>
      </w:r>
    </w:p>
    <w:p>
      <w:pPr>
        <w:spacing w:line="360" w:lineRule="auto"/>
        <w:ind w:firstLine="482" w:firstLineChars="200"/>
        <w:rPr>
          <w:rFonts w:hint="eastAsia" w:ascii="宋体" w:hAnsi="宋体" w:eastAsia="宋体" w:cs="宋体"/>
          <w:color w:val="FF0000"/>
          <w:kern w:val="0"/>
          <w:sz w:val="24"/>
          <w:szCs w:val="32"/>
        </w:rPr>
      </w:pPr>
      <w:r>
        <w:rPr>
          <w:rFonts w:hint="eastAsia" w:ascii="宋体" w:hAnsi="宋体" w:cs="宋体"/>
          <w:b/>
          <w:sz w:val="24"/>
        </w:rPr>
        <w:drawing>
          <wp:inline distT="0" distB="0" distL="114300" distR="114300">
            <wp:extent cx="4604385" cy="3258185"/>
            <wp:effectExtent l="0" t="0" r="5715" b="18415"/>
            <wp:docPr id="1" name="图片 4" descr="F:\2021年春季学期\邓校\最终配图\图3.jpg图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4" descr="F:\2021年春季学期\邓校\最终配图\图3.jpg图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604385" cy="3258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ind w:left="0"/>
        <w:jc w:val="center"/>
        <w:textAlignment w:val="auto"/>
        <w:rPr>
          <w:rFonts w:hint="eastAsia" w:ascii="宋体" w:hAnsi="宋体" w:cs="宋体"/>
          <w:bCs/>
          <w:color w:val="000000"/>
          <w:sz w:val="24"/>
        </w:rPr>
      </w:pPr>
      <w:r>
        <w:rPr>
          <w:rFonts w:hint="eastAsia" w:ascii="Times New Roman" w:hAnsi="Times New Roman" w:eastAsia="楷体_GB2312" w:cs="Times New Roman"/>
          <w:bCs/>
          <w:color w:val="000000"/>
          <w:sz w:val="21"/>
          <w:szCs w:val="21"/>
        </w:rPr>
        <w:t>图</w:t>
      </w:r>
      <w:r>
        <w:rPr>
          <w:rFonts w:hint="eastAsia" w:ascii="Times New Roman" w:hAnsi="Times New Roman" w:eastAsia="楷体_GB2312" w:cs="Times New Roman"/>
          <w:bCs/>
          <w:color w:val="000000"/>
          <w:sz w:val="21"/>
          <w:szCs w:val="21"/>
          <w:lang w:val="en-US" w:eastAsia="zh-CN"/>
        </w:rPr>
        <w:t>1</w:t>
      </w:r>
      <w:r>
        <w:rPr>
          <w:rFonts w:hint="default" w:ascii="Times New Roman" w:hAnsi="Times New Roman" w:eastAsia="楷体_GB2312" w:cs="Times New Roman"/>
          <w:bCs/>
          <w:color w:val="000000"/>
          <w:sz w:val="21"/>
          <w:szCs w:val="21"/>
        </w:rPr>
        <w:t xml:space="preserve"> </w:t>
      </w:r>
      <w:r>
        <w:rPr>
          <w:rFonts w:hint="eastAsia" w:ascii="Times New Roman" w:hAnsi="Times New Roman" w:eastAsia="楷体_GB2312" w:cs="Times New Roman"/>
          <w:bCs/>
          <w:color w:val="000000"/>
          <w:sz w:val="21"/>
          <w:szCs w:val="21"/>
        </w:rPr>
        <w:t>特色创建策略</w: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kern w:val="0"/>
          <w:sz w:val="24"/>
          <w:szCs w:val="32"/>
        </w:rPr>
      </w:pPr>
      <w:r>
        <w:rPr>
          <w:rFonts w:hint="eastAsia" w:ascii="宋体" w:hAnsi="宋体" w:eastAsia="宋体" w:cs="宋体"/>
          <w:kern w:val="0"/>
          <w:sz w:val="24"/>
          <w:szCs w:val="32"/>
        </w:rPr>
        <w:t>首创非遗专业特色</w:t>
      </w:r>
      <w:r>
        <w:rPr>
          <w:rFonts w:hint="eastAsia" w:ascii="宋体" w:hAnsi="宋体" w:eastAsia="宋体" w:cs="宋体"/>
          <w:kern w:val="0"/>
          <w:sz w:val="24"/>
          <w:szCs w:val="32"/>
          <w:lang w:eastAsia="zh-CN"/>
        </w:rPr>
        <w:t>“四内涵”（</w:t>
      </w:r>
      <w:r>
        <w:rPr>
          <w:rFonts w:hint="eastAsia" w:ascii="宋体" w:hAnsi="宋体" w:eastAsia="宋体" w:cs="宋体"/>
          <w:kern w:val="0"/>
          <w:sz w:val="24"/>
          <w:szCs w:val="32"/>
        </w:rPr>
        <w:t>文化特色、传承特色、育人特色</w:t>
      </w:r>
      <w:r>
        <w:rPr>
          <w:rFonts w:hint="eastAsia" w:ascii="宋体" w:hAnsi="宋体" w:eastAsia="宋体" w:cs="宋体"/>
          <w:kern w:val="0"/>
          <w:sz w:val="24"/>
          <w:szCs w:val="32"/>
          <w:lang w:eastAsia="zh-CN"/>
        </w:rPr>
        <w:t>、</w:t>
      </w:r>
      <w:r>
        <w:rPr>
          <w:rFonts w:hint="eastAsia" w:ascii="宋体" w:hAnsi="宋体" w:eastAsia="宋体" w:cs="宋体"/>
          <w:kern w:val="0"/>
          <w:sz w:val="24"/>
          <w:szCs w:val="32"/>
        </w:rPr>
        <w:t>课程特色）</w:t>
      </w:r>
      <w:r>
        <w:rPr>
          <w:rFonts w:hint="eastAsia" w:ascii="宋体" w:hAnsi="宋体" w:eastAsia="宋体" w:cs="宋体"/>
          <w:kern w:val="0"/>
          <w:sz w:val="24"/>
          <w:szCs w:val="32"/>
          <w:lang w:eastAsia="zh-CN"/>
        </w:rPr>
        <w:t>，</w:t>
      </w:r>
      <w:r>
        <w:rPr>
          <w:rFonts w:hint="eastAsia" w:ascii="宋体" w:hAnsi="宋体" w:eastAsia="宋体" w:cs="宋体"/>
          <w:kern w:val="0"/>
          <w:sz w:val="24"/>
          <w:szCs w:val="32"/>
        </w:rPr>
        <w:t>形成了特色专业</w:t>
      </w:r>
      <w:r>
        <w:rPr>
          <w:rFonts w:hint="eastAsia" w:ascii="宋体" w:hAnsi="宋体" w:eastAsia="宋体" w:cs="宋体"/>
          <w:kern w:val="0"/>
          <w:sz w:val="24"/>
          <w:szCs w:val="32"/>
          <w:lang w:eastAsia="zh-CN"/>
        </w:rPr>
        <w:t>创</w:t>
      </w:r>
      <w:r>
        <w:rPr>
          <w:rFonts w:hint="eastAsia" w:ascii="宋体" w:hAnsi="宋体" w:eastAsia="宋体" w:cs="宋体"/>
          <w:kern w:val="0"/>
          <w:sz w:val="24"/>
          <w:szCs w:val="32"/>
        </w:rPr>
        <w:t>建策略</w:t>
      </w:r>
      <w:r>
        <w:rPr>
          <w:rFonts w:hint="eastAsia" w:ascii="宋体" w:hAnsi="宋体" w:eastAsia="宋体" w:cs="宋体"/>
          <w:kern w:val="0"/>
          <w:sz w:val="24"/>
          <w:szCs w:val="32"/>
          <w:lang w:eastAsia="zh-CN"/>
        </w:rPr>
        <w:t>，丰富了特色专业建设内涵。</w: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（3）创建市级重点专业，借力“创重”，提升专业建设水平和能力。</w: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（4）坚持教学相长、师徒共进，凝炼“五字”活态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传承</w:t>
      </w:r>
      <w:r>
        <w:rPr>
          <w:rFonts w:hint="eastAsia" w:ascii="宋体" w:hAnsi="宋体" w:eastAsia="宋体" w:cs="宋体"/>
          <w:sz w:val="24"/>
          <w:szCs w:val="24"/>
        </w:rPr>
        <w:t>育人模式。</w: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kern w:val="0"/>
          <w:sz w:val="24"/>
          <w:szCs w:val="32"/>
        </w:rPr>
      </w:pPr>
      <w:r>
        <w:rPr>
          <w:rFonts w:hint="eastAsia" w:ascii="宋体" w:hAnsi="宋体" w:eastAsia="宋体" w:cs="宋体"/>
          <w:sz w:val="24"/>
          <w:szCs w:val="24"/>
        </w:rPr>
        <w:t>（5）制定非遗竹编专业校本教材开发方案，筹划专业教材开发。</w:t>
      </w:r>
    </w:p>
    <w:p>
      <w:pPr>
        <w:pStyle w:val="3"/>
        <w:spacing w:before="60" w:after="40" w:line="360" w:lineRule="auto"/>
        <w:ind w:firstLine="482" w:firstLineChars="200"/>
        <w:rPr>
          <w:rFonts w:ascii="宋体" w:hAnsi="宋体" w:eastAsia="宋体"/>
          <w:sz w:val="24"/>
          <w:szCs w:val="24"/>
        </w:rPr>
      </w:pPr>
      <w:bookmarkStart w:id="4" w:name="_Toc20149"/>
      <w:r>
        <w:rPr>
          <w:rFonts w:hint="eastAsia" w:ascii="宋体" w:hAnsi="宋体" w:eastAsia="宋体"/>
          <w:sz w:val="24"/>
          <w:szCs w:val="24"/>
        </w:rPr>
        <w:t>（三）优化推广阶段（2014—2021）</w:t>
      </w:r>
      <w:bookmarkEnd w:id="4"/>
    </w:p>
    <w:p>
      <w:pPr>
        <w:spacing w:line="360" w:lineRule="auto"/>
        <w:ind w:firstLine="480" w:firstLineChars="200"/>
        <w:rPr>
          <w:rFonts w:ascii="Times New Roman" w:hAnsi="Times New Roman" w:eastAsia="宋体" w:cs="Times New Roman"/>
          <w:kern w:val="0"/>
          <w:sz w:val="24"/>
          <w:szCs w:val="24"/>
        </w:rPr>
      </w:pPr>
      <w:r>
        <w:rPr>
          <w:rFonts w:hint="eastAsia" w:ascii="Times New Roman" w:hAnsi="Times New Roman" w:eastAsia="宋体" w:cs="Times New Roman"/>
          <w:kern w:val="0"/>
          <w:sz w:val="24"/>
          <w:szCs w:val="24"/>
        </w:rPr>
        <w:t>依托现代学徒制试点和特色专业创建，在育人实践中，应用并优化成果，在对外交流中，宣传并推广成果，引发广泛社会关注。</w:t>
      </w:r>
    </w:p>
    <w:p>
      <w:pPr>
        <w:spacing w:line="360" w:lineRule="auto"/>
        <w:ind w:firstLine="480" w:firstLineChars="200"/>
        <w:rPr>
          <w:rFonts w:ascii="Times New Roman" w:hAnsi="Times New Roman" w:eastAsia="宋体" w:cs="Times New Roman"/>
          <w:kern w:val="0"/>
          <w:sz w:val="24"/>
          <w:szCs w:val="24"/>
        </w:rPr>
      </w:pPr>
      <w:r>
        <w:rPr>
          <w:rFonts w:hint="eastAsia" w:ascii="Times New Roman" w:hAnsi="Times New Roman" w:eastAsia="宋体" w:cs="Times New Roman"/>
          <w:kern w:val="0"/>
          <w:sz w:val="24"/>
          <w:szCs w:val="24"/>
        </w:rPr>
        <w:t>（1）结合“现代学徒制”试点和“省级特色专业”创建，携手企业共同培养教师，构建了竹编专业“三雅”教师成长平台和路径。</w:t>
      </w:r>
    </w:p>
    <w:p>
      <w:pPr>
        <w:spacing w:line="360" w:lineRule="auto"/>
        <w:ind w:firstLine="480" w:firstLineChars="200"/>
        <w:rPr>
          <w:rFonts w:ascii="Times New Roman" w:hAnsi="Times New Roman" w:eastAsia="宋体" w:cs="Times New Roman"/>
          <w:kern w:val="0"/>
          <w:sz w:val="24"/>
          <w:szCs w:val="24"/>
        </w:rPr>
      </w:pPr>
      <w:r>
        <w:rPr>
          <w:rFonts w:hint="eastAsia" w:ascii="Times New Roman" w:hAnsi="Times New Roman" w:eastAsia="宋体" w:cs="Times New Roman"/>
          <w:kern w:val="0"/>
          <w:sz w:val="24"/>
          <w:szCs w:val="24"/>
        </w:rPr>
        <w:t>（2）研究确立竹编专业“三三五五”课程体系，与非遗资源有机衔接，构建非遗课程资源开发策略。</w:t>
      </w:r>
    </w:p>
    <w:p>
      <w:pPr>
        <w:spacing w:line="360" w:lineRule="auto"/>
        <w:ind w:firstLine="480" w:firstLineChars="200"/>
        <w:rPr>
          <w:rFonts w:ascii="宋体" w:hAnsi="宋体" w:eastAsia="宋体" w:cs="宋体"/>
          <w:kern w:val="0"/>
          <w:sz w:val="24"/>
          <w:szCs w:val="32"/>
        </w:rPr>
      </w:pPr>
      <w:r>
        <w:rPr>
          <w:rFonts w:hint="eastAsia" w:ascii="宋体" w:hAnsi="宋体" w:eastAsia="宋体" w:cs="宋体"/>
          <w:kern w:val="0"/>
          <w:sz w:val="24"/>
          <w:szCs w:val="32"/>
        </w:rPr>
        <w:t>（3）探索竹编专业课堂教学模式，紧扣“二纬”价值取向，坚持以生为本，教法与学法统一，注重“激发”而不是“注入”，注重“参与”而不是“接收”，注重“习得”而不是“学得”，教学相长与师徒共进契合，提出“三融三进三课堂”教学模式。</w:t>
      </w:r>
    </w:p>
    <w:p>
      <w:pPr>
        <w:spacing w:line="360" w:lineRule="auto"/>
        <w:ind w:firstLine="480" w:firstLineChars="200"/>
        <w:rPr>
          <w:rFonts w:ascii="宋体" w:hAnsi="宋体" w:eastAsia="宋体" w:cs="宋体"/>
          <w:kern w:val="0"/>
          <w:sz w:val="24"/>
          <w:szCs w:val="32"/>
        </w:rPr>
      </w:pPr>
      <w:r>
        <w:rPr>
          <w:rFonts w:hint="eastAsia" w:ascii="宋体" w:hAnsi="宋体" w:eastAsia="宋体" w:cs="宋体"/>
          <w:kern w:val="0"/>
          <w:sz w:val="24"/>
          <w:szCs w:val="32"/>
        </w:rPr>
        <w:t>（4）首创专业特色“四内涵”，优化非遗竹编专业建设方案，建构了非遗特色专业创建原则、创建内涵和创建路径，形成了非遗竹编特色专业创建策略。</w: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kern w:val="0"/>
          <w:sz w:val="24"/>
          <w:szCs w:val="32"/>
        </w:rPr>
      </w:pPr>
      <w:r>
        <w:rPr>
          <w:rFonts w:hint="eastAsia" w:ascii="宋体" w:hAnsi="宋体" w:eastAsia="宋体" w:cs="宋体"/>
          <w:kern w:val="0"/>
          <w:sz w:val="24"/>
          <w:szCs w:val="32"/>
        </w:rPr>
        <w:t>（5）深化科研进程，形成新课题，申报成为2020年省重课题。</w:t>
      </w:r>
      <w:bookmarkStart w:id="5" w:name="_Toc19105"/>
    </w:p>
    <w:p>
      <w:pPr>
        <w:spacing w:line="360" w:lineRule="auto"/>
        <w:ind w:firstLine="560" w:firstLineChars="200"/>
        <w:rPr>
          <w:rFonts w:hint="eastAsia" w:ascii="黑体" w:hAnsi="黑体" w:eastAsia="黑体" w:cs="黑体"/>
          <w:b w:val="0"/>
          <w:bCs w:val="0"/>
          <w:sz w:val="28"/>
          <w:szCs w:val="28"/>
        </w:rPr>
      </w:pPr>
      <w:r>
        <w:rPr>
          <w:rFonts w:hint="eastAsia" w:ascii="黑体" w:hAnsi="黑体" w:eastAsia="黑体" w:cs="黑体"/>
          <w:b w:val="0"/>
          <w:bCs w:val="0"/>
          <w:sz w:val="28"/>
          <w:szCs w:val="28"/>
        </w:rPr>
        <w:t>三、成果的主要内容</w:t>
      </w:r>
      <w:bookmarkEnd w:id="5"/>
    </w:p>
    <w:p>
      <w:pPr>
        <w:pStyle w:val="3"/>
        <w:spacing w:before="60" w:after="40" w:line="360" w:lineRule="auto"/>
        <w:ind w:firstLine="482" w:firstLineChars="200"/>
        <w:rPr>
          <w:rFonts w:ascii="宋体" w:hAnsi="宋体" w:eastAsia="宋体"/>
          <w:sz w:val="24"/>
          <w:szCs w:val="24"/>
        </w:rPr>
      </w:pPr>
      <w:bookmarkStart w:id="6" w:name="_Toc9474"/>
      <w:r>
        <w:rPr>
          <w:rFonts w:hint="eastAsia" w:ascii="宋体" w:hAnsi="宋体" w:eastAsia="宋体"/>
          <w:sz w:val="24"/>
          <w:szCs w:val="24"/>
        </w:rPr>
        <w:t>（一）认识性成果</w:t>
      </w:r>
      <w:bookmarkEnd w:id="6"/>
    </w:p>
    <w:p>
      <w:pPr>
        <w:spacing w:line="360" w:lineRule="auto"/>
        <w:ind w:firstLine="480" w:firstLineChars="20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1.“传承非遗”和“助推产业”，是竹编专业建设在“文化”纬度与“经济”纬度的价值追寻。</w:t>
      </w:r>
    </w:p>
    <w:p>
      <w:pPr>
        <w:spacing w:line="360" w:lineRule="auto"/>
        <w:ind w:firstLine="480" w:firstLineChars="20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培养竹产品制作人才，助推竹产业发展；培育竹手工艺编织巧匠，传承竹编技艺。助推竹产业，实现的是经济价值；传承竹编技艺，创造的是文化价值。</w:t>
      </w:r>
    </w:p>
    <w:p>
      <w:pPr>
        <w:tabs>
          <w:tab w:val="left" w:pos="312"/>
        </w:tabs>
        <w:spacing w:line="360" w:lineRule="auto"/>
        <w:ind w:firstLine="480" w:firstLineChars="20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2.“政、校、企”互联互动，是竹编专业“拔节生长”的土壤。</w:t>
      </w:r>
    </w:p>
    <w:p>
      <w:pPr>
        <w:spacing w:line="360" w:lineRule="auto"/>
        <w:ind w:firstLine="480" w:firstLineChars="20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校企联合，共同开发课程，制定人培方案，为竹编专业生长提供“养分”；政校联动，提供政策保障，支持专业建设，为竹编专业生长提供“支撑”；政企联通，引导企业行为，汇聚资源，为竹编专业生长提供“水分”。</w:t>
      </w:r>
    </w:p>
    <w:p>
      <w:pPr>
        <w:spacing w:line="360" w:lineRule="auto"/>
        <w:ind w:firstLine="480" w:firstLineChars="20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 xml:space="preserve">3.技艺育人、文化育人、竹品成人，是贯穿竹编专业建设始终的主线。  </w:t>
      </w:r>
    </w:p>
    <w:p>
      <w:pPr>
        <w:spacing w:line="360" w:lineRule="auto"/>
        <w:ind w:firstLine="480" w:firstLineChars="200"/>
        <w:rPr>
          <w:rFonts w:ascii="宋体" w:hAnsi="宋体" w:eastAsia="宋体" w:cs="宋体"/>
          <w:kern w:val="0"/>
          <w:sz w:val="24"/>
          <w:szCs w:val="32"/>
        </w:rPr>
      </w:pPr>
      <w:r>
        <w:rPr>
          <w:rFonts w:hint="eastAsia" w:ascii="宋体" w:hAnsi="宋体" w:cs="宋体" w:eastAsiaTheme="minorEastAsia"/>
          <w:bCs/>
          <w:color w:val="000000"/>
          <w:sz w:val="24"/>
          <w:lang w:eastAsia="zh-CN"/>
        </w:rPr>
        <w:drawing>
          <wp:anchor distT="0" distB="0" distL="114300" distR="114300" simplePos="0" relativeHeight="251670528" behindDoc="1" locked="0" layoutInCell="1" allowOverlap="1">
            <wp:simplePos x="0" y="0"/>
            <wp:positionH relativeFrom="column">
              <wp:posOffset>2532380</wp:posOffset>
            </wp:positionH>
            <wp:positionV relativeFrom="paragraph">
              <wp:posOffset>278765</wp:posOffset>
            </wp:positionV>
            <wp:extent cx="3008630" cy="2129790"/>
            <wp:effectExtent l="0" t="0" r="58420" b="41910"/>
            <wp:wrapTight wrapText="bothSides">
              <wp:wrapPolygon>
                <wp:start x="0" y="0"/>
                <wp:lineTo x="0" y="21445"/>
                <wp:lineTo x="21472" y="21445"/>
                <wp:lineTo x="21472" y="0"/>
                <wp:lineTo x="0" y="0"/>
              </wp:wrapPolygon>
            </wp:wrapTight>
            <wp:docPr id="3" name="图片 3" descr="图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图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008630" cy="21297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/>
          <w:sz w:val="24"/>
          <w:szCs w:val="24"/>
        </w:rPr>
        <w:t>竹编专业一经创办，就把“育人”作为贯穿始终的主线。“三三”理念，即做“三雅”教师（静雅、优雅、慧雅），育“三心”学生（净心、精心、匠心），达“三人”目标（育人：精研技术、竹艺育人；化人：传承文化、竹韵化人；成人：濡染风骨、竹品成人）。“三三”理念对教师、学生、目标进行了规范、导</w:t>
      </w:r>
      <w:r>
        <w:rPr>
          <w:rFonts w:hint="eastAsia" w:ascii="宋体" w:hAnsi="宋体" w:eastAsia="宋体" w:cs="宋体"/>
          <w:kern w:val="0"/>
          <w:sz w:val="24"/>
          <w:szCs w:val="32"/>
        </w:rPr>
        <w:t>向，形成专业</w:t>
      </w:r>
      <w:r>
        <w:rPr>
          <w:rFonts w:hint="eastAsia" w:ascii="宋体" w:hAnsi="宋体" w:eastAsia="宋体" w:cs="宋体"/>
          <w:kern w:val="0"/>
          <w:sz w:val="24"/>
          <w:szCs w:val="32"/>
          <w:lang w:val="en-US" w:eastAsia="zh-CN"/>
        </w:rPr>
        <w:t>建设</w:t>
      </w:r>
      <w:r>
        <w:rPr>
          <w:rFonts w:hint="eastAsia" w:ascii="宋体" w:hAnsi="宋体" w:eastAsia="宋体" w:cs="宋体"/>
          <w:kern w:val="0"/>
          <w:sz w:val="24"/>
          <w:szCs w:val="32"/>
        </w:rPr>
        <w:t>思想。</w:t>
      </w:r>
    </w:p>
    <w:p>
      <w:pPr>
        <w:spacing w:line="440" w:lineRule="exact"/>
        <w:ind w:firstLine="4830" w:firstLineChars="2300"/>
        <w:jc w:val="both"/>
        <w:rPr>
          <w:rFonts w:ascii="Times New Roman" w:hAnsi="Times New Roman" w:eastAsia="楷体_GB2312" w:cs="Times New Roman"/>
          <w:bCs/>
          <w:color w:val="000000"/>
          <w:szCs w:val="21"/>
        </w:rPr>
      </w:pPr>
      <w:r>
        <w:rPr>
          <w:rFonts w:hint="eastAsia" w:ascii="Times New Roman" w:hAnsi="Times New Roman" w:eastAsia="楷体_GB2312" w:cs="Times New Roman"/>
          <w:bCs/>
          <w:color w:val="000000"/>
          <w:szCs w:val="21"/>
        </w:rPr>
        <w:t>图</w:t>
      </w:r>
      <w:r>
        <w:rPr>
          <w:rFonts w:hint="eastAsia" w:ascii="Times New Roman" w:hAnsi="Times New Roman" w:eastAsia="楷体_GB2312" w:cs="Times New Roman"/>
          <w:bCs/>
          <w:color w:val="000000"/>
          <w:szCs w:val="21"/>
          <w:lang w:val="en-US" w:eastAsia="zh-CN"/>
        </w:rPr>
        <w:t>2</w:t>
      </w:r>
      <w:r>
        <w:rPr>
          <w:rFonts w:hint="eastAsia" w:ascii="Times New Roman" w:hAnsi="Times New Roman" w:eastAsia="楷体_GB2312" w:cs="Times New Roman"/>
          <w:bCs/>
          <w:color w:val="000000"/>
          <w:szCs w:val="21"/>
        </w:rPr>
        <w:t xml:space="preserve"> 特色专业创建“三三”理念</w:t>
      </w:r>
    </w:p>
    <w:p>
      <w:pPr>
        <w:pStyle w:val="3"/>
        <w:spacing w:before="60" w:after="40" w:line="360" w:lineRule="auto"/>
        <w:rPr>
          <w:rFonts w:ascii="宋体" w:hAnsi="宋体" w:eastAsia="宋体"/>
          <w:sz w:val="24"/>
          <w:szCs w:val="24"/>
        </w:rPr>
      </w:pPr>
      <w:bookmarkStart w:id="7" w:name="_Toc23193"/>
      <w:r>
        <w:rPr>
          <w:rFonts w:hint="eastAsia" w:ascii="宋体" w:hAnsi="宋体" w:eastAsia="宋体"/>
          <w:sz w:val="24"/>
          <w:szCs w:val="24"/>
        </w:rPr>
        <w:t>（二）操作性成果</w:t>
      </w:r>
      <w:bookmarkEnd w:id="7"/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kern w:val="0"/>
          <w:sz w:val="24"/>
          <w:szCs w:val="32"/>
          <w:lang w:eastAsia="zh-CN"/>
        </w:rPr>
      </w:pPr>
      <w:r>
        <w:rPr>
          <w:rFonts w:hint="eastAsia" w:ascii="宋体" w:hAnsi="宋体" w:eastAsia="宋体" w:cs="宋体"/>
          <w:kern w:val="0"/>
          <w:sz w:val="24"/>
          <w:szCs w:val="32"/>
          <w:lang w:eastAsia="zh-CN"/>
        </w:rPr>
        <w:drawing>
          <wp:inline distT="0" distB="0" distL="114300" distR="114300">
            <wp:extent cx="5273040" cy="7027545"/>
            <wp:effectExtent l="0" t="0" r="3810" b="1905"/>
            <wp:docPr id="58" name="图片 58" descr="“三二二”竹编专业建设理论模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图片 58" descr="“三二二”竹编专业建设理论模型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027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12" w:name="_GoBack"/>
      <w:bookmarkEnd w:id="12"/>
    </w:p>
    <w:p>
      <w:pPr>
        <w:jc w:val="center"/>
        <w:rPr>
          <w:rFonts w:eastAsia="楷体_GB2312"/>
          <w:szCs w:val="21"/>
        </w:rPr>
      </w:pPr>
    </w:p>
    <w:p>
      <w:pPr>
        <w:jc w:val="center"/>
        <w:rPr>
          <w:rFonts w:hint="eastAsia" w:ascii="楷体" w:hAnsi="楷体" w:eastAsia="楷体" w:cs="楷体"/>
          <w:szCs w:val="21"/>
        </w:rPr>
      </w:pPr>
    </w:p>
    <w:p>
      <w:pPr>
        <w:jc w:val="center"/>
        <w:rPr>
          <w:rFonts w:hint="eastAsia" w:ascii="楷体" w:hAnsi="楷体" w:eastAsia="楷体" w:cs="楷体"/>
          <w:color w:val="auto"/>
          <w:kern w:val="0"/>
          <w:sz w:val="24"/>
          <w:szCs w:val="32"/>
          <w:lang w:val="en-US" w:eastAsia="zh-CN"/>
        </w:rPr>
      </w:pPr>
      <w:r>
        <w:rPr>
          <w:rFonts w:hint="eastAsia" w:ascii="楷体" w:hAnsi="楷体" w:eastAsia="楷体" w:cs="楷体"/>
          <w:szCs w:val="21"/>
        </w:rPr>
        <w:t>图</w:t>
      </w:r>
      <w:r>
        <w:rPr>
          <w:rFonts w:hint="eastAsia" w:ascii="楷体" w:hAnsi="楷体" w:eastAsia="楷体" w:cs="楷体"/>
          <w:szCs w:val="21"/>
          <w:lang w:val="en-US" w:eastAsia="zh-CN"/>
        </w:rPr>
        <w:t xml:space="preserve">3 </w:t>
      </w:r>
      <w:r>
        <w:rPr>
          <w:rFonts w:hint="eastAsia" w:ascii="楷体" w:hAnsi="楷体" w:eastAsia="楷体" w:cs="楷体"/>
          <w:szCs w:val="21"/>
        </w:rPr>
        <w:t>“二三五”非遗竹编特色专业</w:t>
      </w:r>
      <w:r>
        <w:rPr>
          <w:rFonts w:hint="eastAsia" w:ascii="楷体" w:hAnsi="楷体" w:eastAsia="楷体" w:cs="楷体"/>
          <w:color w:val="auto"/>
          <w:szCs w:val="21"/>
          <w:lang w:val="en-US" w:eastAsia="zh-CN"/>
        </w:rPr>
        <w:t>育人架构</w:t>
      </w:r>
    </w:p>
    <w:p>
      <w:pPr>
        <w:spacing w:line="360" w:lineRule="auto"/>
        <w:ind w:firstLine="482" w:firstLineChars="200"/>
        <w:rPr>
          <w:rFonts w:ascii="宋体" w:hAnsi="宋体" w:eastAsia="宋体" w:cs="宋体"/>
          <w:b/>
          <w:bCs/>
          <w:kern w:val="0"/>
          <w:sz w:val="24"/>
          <w:szCs w:val="32"/>
        </w:rPr>
      </w:pPr>
      <w:r>
        <w:rPr>
          <w:rFonts w:hint="eastAsia" w:ascii="宋体" w:hAnsi="宋体" w:eastAsia="宋体" w:cs="宋体"/>
          <w:b/>
          <w:bCs/>
          <w:kern w:val="0"/>
          <w:sz w:val="24"/>
          <w:szCs w:val="32"/>
        </w:rPr>
        <w:t>1.构建了非遗竹编专业建设模式。</w:t>
      </w:r>
    </w:p>
    <w:p>
      <w:pPr>
        <w:spacing w:line="360" w:lineRule="auto"/>
        <w:ind w:firstLine="960" w:firstLineChars="400"/>
        <w:rPr>
          <w:rFonts w:ascii="宋体" w:hAnsi="宋体" w:eastAsia="宋体" w:cs="宋体"/>
          <w:kern w:val="0"/>
          <w:sz w:val="24"/>
          <w:szCs w:val="32"/>
        </w:rPr>
      </w:pPr>
      <w:r>
        <w:rPr>
          <w:rFonts w:hint="eastAsia" w:ascii="宋体" w:hAnsi="宋体" w:eastAsia="宋体" w:cs="宋体"/>
          <w:kern w:val="0"/>
          <w:sz w:val="24"/>
          <w:szCs w:val="32"/>
        </w:rPr>
        <w:t>在“三主体”（政、企、校）“两纬度”（传承非遗、助推产业）架构下，提出了非遗竹编专业建设模式：明确创建目标——打造特色专业、培育特色人才、助推产业发展、服务“一带一路”；明晰创建理念——“三三”育人理念；确定创建路径——成立团队、调查研究、综合分析、调研报告、人培方案、专业建设、总结提炼、优化推广。</w:t>
      </w:r>
    </w:p>
    <w:p>
      <w:pPr>
        <w:spacing w:line="360" w:lineRule="auto"/>
        <w:ind w:firstLine="482" w:firstLineChars="200"/>
        <w:rPr>
          <w:rFonts w:hint="eastAsia" w:ascii="宋体" w:hAnsi="宋体" w:eastAsia="宋体" w:cs="宋体"/>
          <w:b/>
          <w:bCs/>
          <w:kern w:val="0"/>
          <w:sz w:val="24"/>
          <w:szCs w:val="32"/>
          <w:lang w:val="en-US" w:eastAsia="zh-CN"/>
        </w:rPr>
      </w:pPr>
      <w:r>
        <w:rPr>
          <w:rFonts w:hint="eastAsia" w:ascii="宋体" w:hAnsi="宋体" w:eastAsia="宋体" w:cs="宋体"/>
          <w:b/>
          <w:bCs/>
          <w:kern w:val="0"/>
          <w:sz w:val="24"/>
          <w:szCs w:val="32"/>
          <w:lang w:val="en-US" w:eastAsia="zh-CN"/>
        </w:rPr>
        <w:t>2.构建了非遗竹编专业教师培养策略。</w:t>
      </w:r>
    </w:p>
    <w:p>
      <w:pPr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ind w:firstLine="480" w:firstLineChars="200"/>
        <w:jc w:val="left"/>
        <w:textAlignment w:val="auto"/>
        <w:rPr>
          <w:rFonts w:hint="eastAsia" w:ascii="宋体" w:hAnsi="宋体" w:eastAsia="宋体" w:cs="宋体"/>
          <w:kern w:val="0"/>
          <w:sz w:val="24"/>
          <w:szCs w:val="32"/>
        </w:rPr>
      </w:pPr>
      <w:r>
        <w:rPr>
          <w:rFonts w:hint="eastAsia" w:ascii="Times New Roman" w:hAnsi="Times New Roman" w:eastAsia="宋体" w:cs="Times New Roman"/>
          <w:b w:val="0"/>
          <w:bCs w:val="0"/>
          <w:color w:val="auto"/>
          <w:kern w:val="0"/>
          <w:sz w:val="24"/>
          <w:szCs w:val="32"/>
          <w:lang w:eastAsia="zh-CN"/>
        </w:rPr>
        <w:t>以“三三”理念为指引，培养静雅、优雅、慧雅“三雅”教师；坚持校企合作，教师定期入企当“师傅”，大师走进课堂作“教师”，组建打造</w:t>
      </w:r>
      <w:r>
        <w:rPr>
          <w:rFonts w:hint="eastAsia"/>
          <w:b w:val="0"/>
          <w:bCs w:val="0"/>
          <w:color w:val="auto"/>
          <w:kern w:val="0"/>
          <w:sz w:val="24"/>
          <w:szCs w:val="24"/>
        </w:rPr>
        <w:t>“大师+</w:t>
      </w:r>
      <w:r>
        <w:rPr>
          <w:rFonts w:hint="eastAsia"/>
          <w:b w:val="0"/>
          <w:bCs w:val="0"/>
          <w:color w:val="auto"/>
          <w:kern w:val="0"/>
          <w:sz w:val="24"/>
          <w:szCs w:val="24"/>
          <w:lang w:eastAsia="zh-CN"/>
        </w:rPr>
        <w:t>教</w:t>
      </w:r>
      <w:r>
        <w:rPr>
          <w:rFonts w:hint="eastAsia"/>
          <w:b w:val="0"/>
          <w:bCs w:val="0"/>
          <w:color w:val="auto"/>
          <w:kern w:val="0"/>
          <w:sz w:val="24"/>
          <w:szCs w:val="24"/>
        </w:rPr>
        <w:t>师+师</w:t>
      </w:r>
      <w:r>
        <w:rPr>
          <w:rFonts w:hint="eastAsia"/>
          <w:b w:val="0"/>
          <w:bCs w:val="0"/>
          <w:color w:val="auto"/>
          <w:kern w:val="0"/>
          <w:sz w:val="24"/>
          <w:szCs w:val="24"/>
          <w:lang w:eastAsia="zh-CN"/>
        </w:rPr>
        <w:t>傅</w:t>
      </w:r>
      <w:r>
        <w:rPr>
          <w:rFonts w:hint="eastAsia"/>
          <w:b w:val="0"/>
          <w:bCs w:val="0"/>
          <w:color w:val="auto"/>
          <w:kern w:val="0"/>
          <w:sz w:val="24"/>
          <w:szCs w:val="24"/>
        </w:rPr>
        <w:t>”</w:t>
      </w:r>
      <w:r>
        <w:rPr>
          <w:rFonts w:hint="eastAsia"/>
          <w:b w:val="0"/>
          <w:bCs w:val="0"/>
          <w:color w:val="auto"/>
          <w:kern w:val="0"/>
          <w:sz w:val="24"/>
          <w:szCs w:val="24"/>
          <w:lang w:eastAsia="zh-CN"/>
        </w:rPr>
        <w:t>特色</w:t>
      </w:r>
      <w:r>
        <w:rPr>
          <w:rFonts w:hint="eastAsia"/>
          <w:b w:val="0"/>
          <w:bCs w:val="0"/>
          <w:color w:val="auto"/>
          <w:kern w:val="0"/>
          <w:sz w:val="24"/>
          <w:szCs w:val="24"/>
        </w:rPr>
        <w:t>教学团队</w:t>
      </w:r>
      <w:r>
        <w:rPr>
          <w:rFonts w:hint="eastAsia"/>
          <w:b w:val="0"/>
          <w:bCs w:val="0"/>
          <w:color w:val="auto"/>
          <w:kern w:val="0"/>
          <w:sz w:val="24"/>
          <w:szCs w:val="24"/>
          <w:lang w:eastAsia="zh-CN"/>
        </w:rPr>
        <w:t>。</w:t>
      </w:r>
    </w:p>
    <w:p>
      <w:pPr>
        <w:spacing w:line="360" w:lineRule="auto"/>
        <w:ind w:firstLine="482" w:firstLineChars="200"/>
        <w:rPr>
          <w:rFonts w:ascii="宋体" w:hAnsi="宋体" w:eastAsia="宋体" w:cs="宋体"/>
          <w:b/>
          <w:bCs/>
          <w:kern w:val="0"/>
          <w:sz w:val="24"/>
          <w:szCs w:val="32"/>
        </w:rPr>
      </w:pPr>
      <w:r>
        <w:rPr>
          <w:rFonts w:hint="eastAsia" w:ascii="宋体" w:hAnsi="宋体" w:eastAsia="宋体" w:cs="宋体"/>
          <w:b/>
          <w:bCs/>
          <w:kern w:val="0"/>
          <w:sz w:val="24"/>
          <w:szCs w:val="32"/>
        </w:rPr>
        <w:t>3.构建了非遗竹编专业课程开发</w:t>
      </w:r>
      <w:r>
        <w:rPr>
          <w:rFonts w:hint="eastAsia" w:ascii="宋体" w:hAnsi="宋体" w:eastAsia="宋体" w:cs="宋体"/>
          <w:b/>
          <w:bCs/>
          <w:kern w:val="0"/>
          <w:sz w:val="24"/>
          <w:szCs w:val="32"/>
          <w:lang w:eastAsia="zh-CN"/>
        </w:rPr>
        <w:t>策略</w:t>
      </w:r>
      <w:r>
        <w:rPr>
          <w:rFonts w:hint="eastAsia" w:ascii="宋体" w:hAnsi="宋体" w:eastAsia="宋体" w:cs="宋体"/>
          <w:b/>
          <w:bCs/>
          <w:kern w:val="0"/>
          <w:sz w:val="24"/>
          <w:szCs w:val="32"/>
        </w:rPr>
        <w:t>。</w:t>
      </w:r>
    </w:p>
    <w:p>
      <w:pPr>
        <w:spacing w:line="360" w:lineRule="auto"/>
        <w:ind w:firstLine="420" w:firstLineChars="200"/>
        <w:rPr>
          <w:rFonts w:ascii="宋体" w:hAnsi="宋体" w:eastAsia="宋体" w:cs="宋体"/>
          <w:kern w:val="0"/>
          <w:sz w:val="24"/>
          <w:szCs w:val="32"/>
        </w:rPr>
      </w:pPr>
      <w:r>
        <w:drawing>
          <wp:inline distT="0" distB="0" distL="114300" distR="114300">
            <wp:extent cx="5360670" cy="4537075"/>
            <wp:effectExtent l="0" t="0" r="11430" b="15875"/>
            <wp:docPr id="7" name="图片 3" descr="校本课程开发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3" descr="校本课程开发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360670" cy="4537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440" w:lineRule="exact"/>
        <w:jc w:val="center"/>
        <w:rPr>
          <w:rFonts w:ascii="宋体" w:hAnsi="宋体" w:eastAsia="宋体" w:cs="宋体"/>
          <w:kern w:val="0"/>
          <w:sz w:val="24"/>
          <w:szCs w:val="32"/>
        </w:rPr>
      </w:pPr>
      <w:r>
        <w:rPr>
          <w:rFonts w:hint="eastAsia" w:ascii="Times New Roman" w:hAnsi="Times New Roman" w:eastAsia="楷体_GB2312" w:cs="Times New Roman"/>
          <w:szCs w:val="21"/>
        </w:rPr>
        <w:t>图</w:t>
      </w:r>
      <w:r>
        <w:rPr>
          <w:rFonts w:hint="eastAsia" w:ascii="Times New Roman" w:hAnsi="Times New Roman" w:eastAsia="楷体_GB2312" w:cs="Times New Roman"/>
          <w:szCs w:val="21"/>
          <w:lang w:val="en-US" w:eastAsia="zh-CN"/>
        </w:rPr>
        <w:t>4</w:t>
      </w:r>
      <w:r>
        <w:rPr>
          <w:rFonts w:hint="eastAsia" w:ascii="Times New Roman" w:hAnsi="Times New Roman" w:eastAsia="楷体_GB2312" w:cs="Times New Roman"/>
          <w:szCs w:val="21"/>
        </w:rPr>
        <w:t xml:space="preserve"> 非遗课程资源开发策略</w: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kern w:val="0"/>
          <w:sz w:val="24"/>
          <w:szCs w:val="32"/>
        </w:rPr>
      </w:pPr>
      <w:r>
        <w:rPr>
          <w:rFonts w:hint="eastAsia" w:ascii="宋体" w:hAnsi="宋体" w:eastAsia="宋体" w:cs="宋体"/>
          <w:kern w:val="0"/>
          <w:sz w:val="24"/>
          <w:szCs w:val="32"/>
        </w:rPr>
        <w:t>竹编专业课程开发与非遗资源禀赋衔接，将非遗独具的传统高超技艺、独特的精神文化价值融进课程，创新提出了非遗竹编专业“二三三”课程资源开发模式：两基点——以非遗“传”和“承”为基点；三尊重——尊重非遗特性、尊重大师技术、尊重课程属性；三转化——大师引领资源化、资源挖掘课程化、课程开发结构化。</w:t>
      </w:r>
    </w:p>
    <w:p>
      <w:pPr>
        <w:spacing w:line="360" w:lineRule="auto"/>
        <w:ind w:firstLine="482" w:firstLineChars="200"/>
        <w:rPr>
          <w:rFonts w:ascii="宋体" w:hAnsi="宋体" w:eastAsia="宋体" w:cs="宋体"/>
          <w:b/>
          <w:bCs/>
          <w:kern w:val="0"/>
          <w:sz w:val="24"/>
          <w:szCs w:val="32"/>
        </w:rPr>
      </w:pPr>
      <w:r>
        <w:rPr>
          <w:rFonts w:hint="eastAsia" w:ascii="宋体" w:hAnsi="宋体" w:eastAsia="宋体" w:cs="宋体"/>
          <w:b/>
          <w:bCs/>
          <w:kern w:val="0"/>
          <w:sz w:val="24"/>
          <w:szCs w:val="32"/>
        </w:rPr>
        <w:t>4.构建了非遗竹编专业</w:t>
      </w:r>
      <w:r>
        <w:rPr>
          <w:rFonts w:hint="eastAsia" w:ascii="宋体" w:hAnsi="宋体" w:eastAsia="宋体" w:cs="宋体"/>
          <w:b/>
          <w:bCs/>
          <w:kern w:val="0"/>
          <w:sz w:val="24"/>
          <w:szCs w:val="32"/>
          <w:lang w:eastAsia="zh-CN"/>
        </w:rPr>
        <w:t>教育</w:t>
      </w:r>
      <w:r>
        <w:rPr>
          <w:rFonts w:hint="eastAsia" w:ascii="宋体" w:hAnsi="宋体" w:eastAsia="宋体" w:cs="宋体"/>
          <w:b/>
          <w:bCs/>
          <w:kern w:val="0"/>
          <w:sz w:val="24"/>
          <w:szCs w:val="32"/>
        </w:rPr>
        <w:t>教学模式。</w:t>
      </w:r>
    </w:p>
    <w:p>
      <w:pPr>
        <w:spacing w:line="360" w:lineRule="auto"/>
        <w:ind w:firstLine="420" w:firstLineChars="200"/>
      </w:pPr>
      <w:r>
        <w:rPr>
          <w:rFonts w:hint="eastAsia"/>
        </w:rPr>
        <w:drawing>
          <wp:inline distT="0" distB="0" distL="114300" distR="114300">
            <wp:extent cx="4557395" cy="2258695"/>
            <wp:effectExtent l="0" t="0" r="14605" b="8255"/>
            <wp:docPr id="8" name="图片 4" descr="三融三进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4" descr="三融三进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557395" cy="2258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440" w:lineRule="exact"/>
        <w:jc w:val="center"/>
        <w:rPr>
          <w:rFonts w:ascii="宋体" w:hAnsi="宋体" w:eastAsia="宋体" w:cs="宋体"/>
          <w:kern w:val="0"/>
          <w:sz w:val="24"/>
          <w:szCs w:val="32"/>
        </w:rPr>
      </w:pPr>
      <w:r>
        <w:rPr>
          <w:rFonts w:hint="eastAsia" w:eastAsia="楷体_GB2312"/>
          <w:szCs w:val="21"/>
        </w:rPr>
        <w:t>图</w:t>
      </w:r>
      <w:r>
        <w:rPr>
          <w:rFonts w:hint="eastAsia" w:eastAsia="楷体_GB2312"/>
          <w:szCs w:val="21"/>
          <w:lang w:val="en-US" w:eastAsia="zh-CN"/>
        </w:rPr>
        <w:t>5</w:t>
      </w:r>
      <w:r>
        <w:rPr>
          <w:rFonts w:hint="eastAsia" w:eastAsia="楷体_GB2312"/>
          <w:szCs w:val="21"/>
        </w:rPr>
        <w:t xml:space="preserve"> “三融三进三课堂”教育教学模式</w: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kern w:val="0"/>
          <w:sz w:val="24"/>
          <w:szCs w:val="32"/>
          <w:lang w:eastAsia="zh-CN"/>
        </w:rPr>
      </w:pPr>
      <w:r>
        <w:rPr>
          <w:rFonts w:hint="eastAsia" w:ascii="宋体" w:hAnsi="宋体" w:eastAsia="宋体" w:cs="宋体"/>
          <w:kern w:val="0"/>
          <w:sz w:val="24"/>
          <w:szCs w:val="32"/>
        </w:rPr>
        <w:t>以校、企、基地为平台，坚持生本理念、育用对接、产教融通，构建了“三融三进三课堂”教学模式</w:t>
      </w:r>
      <w:r>
        <w:rPr>
          <w:rFonts w:hint="eastAsia" w:ascii="宋体" w:hAnsi="宋体" w:eastAsia="宋体" w:cs="宋体"/>
          <w:kern w:val="0"/>
          <w:sz w:val="24"/>
          <w:szCs w:val="32"/>
          <w:lang w:eastAsia="zh-CN"/>
        </w:rPr>
        <w:t>，落实落地非遗特色专业育人实践。</w:t>
      </w:r>
    </w:p>
    <w:p>
      <w:pPr>
        <w:spacing w:line="360" w:lineRule="auto"/>
        <w:ind w:firstLine="482" w:firstLineChars="200"/>
        <w:rPr>
          <w:rFonts w:ascii="宋体" w:hAnsi="宋体" w:eastAsia="宋体" w:cs="宋体"/>
          <w:b/>
          <w:bCs/>
          <w:kern w:val="0"/>
          <w:sz w:val="24"/>
          <w:szCs w:val="32"/>
        </w:rPr>
      </w:pPr>
      <w:r>
        <w:rPr>
          <w:rFonts w:hint="eastAsia" w:ascii="宋体" w:hAnsi="宋体" w:eastAsia="宋体" w:cs="宋体"/>
          <w:b/>
          <w:bCs/>
          <w:kern w:val="0"/>
          <w:sz w:val="24"/>
          <w:szCs w:val="32"/>
        </w:rPr>
        <w:t>5.构建了基于</w:t>
      </w:r>
      <w:r>
        <w:rPr>
          <w:rFonts w:hint="eastAsia" w:ascii="宋体" w:hAnsi="宋体" w:eastAsia="宋体" w:cs="宋体"/>
          <w:b/>
          <w:bCs/>
          <w:kern w:val="0"/>
          <w:sz w:val="24"/>
          <w:szCs w:val="32"/>
          <w:lang w:eastAsia="zh-CN"/>
        </w:rPr>
        <w:t>非遗竹编</w:t>
      </w:r>
      <w:r>
        <w:rPr>
          <w:rFonts w:hint="eastAsia" w:ascii="宋体" w:hAnsi="宋体" w:eastAsia="宋体" w:cs="宋体"/>
          <w:b/>
          <w:bCs/>
          <w:kern w:val="0"/>
          <w:sz w:val="24"/>
          <w:szCs w:val="32"/>
        </w:rPr>
        <w:t>专业育人的“五字”活态非遗传承模式。</w:t>
      </w:r>
    </w:p>
    <w:p>
      <w:pPr>
        <w:spacing w:line="360" w:lineRule="auto"/>
        <w:jc w:val="center"/>
        <w:rPr>
          <w:rFonts w:eastAsia="宋体"/>
        </w:rPr>
      </w:pPr>
      <w:r>
        <w:rPr>
          <w:rFonts w:hint="eastAsia" w:eastAsia="宋体"/>
        </w:rPr>
        <w:drawing>
          <wp:inline distT="0" distB="0" distL="114300" distR="114300">
            <wp:extent cx="4062730" cy="2730500"/>
            <wp:effectExtent l="0" t="0" r="13970" b="12700"/>
            <wp:docPr id="11" name="图片 5" descr="图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5" descr="图6"/>
                    <pic:cNvPicPr>
                      <a:picLocks noChangeAspect="1"/>
                    </pic:cNvPicPr>
                  </pic:nvPicPr>
                  <pic:blipFill>
                    <a:blip r:embed="rId12"/>
                    <a:srcRect l="16243" r="13498" b="7869"/>
                    <a:stretch>
                      <a:fillRect/>
                    </a:stretch>
                  </pic:blipFill>
                  <pic:spPr>
                    <a:xfrm>
                      <a:off x="0" y="0"/>
                      <a:ext cx="4062730" cy="273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440" w:lineRule="exact"/>
        <w:jc w:val="center"/>
        <w:rPr>
          <w:rFonts w:ascii="宋体" w:hAnsi="宋体" w:eastAsia="宋体" w:cs="宋体"/>
          <w:kern w:val="0"/>
          <w:sz w:val="24"/>
          <w:szCs w:val="32"/>
        </w:rPr>
      </w:pPr>
      <w:r>
        <w:rPr>
          <w:rFonts w:hint="eastAsia" w:eastAsia="楷体_GB2312"/>
          <w:szCs w:val="21"/>
        </w:rPr>
        <w:t>图</w:t>
      </w:r>
      <w:r>
        <w:rPr>
          <w:rFonts w:hint="eastAsia" w:eastAsia="楷体_GB2312"/>
          <w:szCs w:val="21"/>
          <w:lang w:val="en-US" w:eastAsia="zh-CN"/>
        </w:rPr>
        <w:t>6</w:t>
      </w:r>
      <w:r>
        <w:rPr>
          <w:rFonts w:hint="eastAsia" w:eastAsia="楷体_GB2312"/>
          <w:szCs w:val="21"/>
        </w:rPr>
        <w:t xml:space="preserve"> 非遗竹编专业“五字”活态育人模式</w: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kern w:val="0"/>
          <w:sz w:val="24"/>
          <w:szCs w:val="32"/>
        </w:rPr>
      </w:pPr>
      <w:r>
        <w:rPr>
          <w:rFonts w:hint="eastAsia" w:ascii="宋体" w:hAnsi="宋体" w:eastAsia="宋体" w:cs="宋体"/>
          <w:kern w:val="0"/>
          <w:sz w:val="24"/>
          <w:szCs w:val="32"/>
        </w:rPr>
        <w:t>以“三三”理念为指引，育“三心”学生，达“三人”目标；尊重竹编非遗传承特点，构建“五字”活态育人模式：教学“五字”模式——教、导、研、传、雅；学习“五字”模式——学、做、研、承、超。</w: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kern w:val="0"/>
          <w:sz w:val="24"/>
          <w:szCs w:val="32"/>
        </w:rPr>
      </w:pP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kern w:val="0"/>
          <w:sz w:val="24"/>
          <w:szCs w:val="32"/>
        </w:rPr>
      </w:pPr>
    </w:p>
    <w:p>
      <w:pPr>
        <w:spacing w:line="440" w:lineRule="exact"/>
        <w:ind w:firstLine="560" w:firstLineChars="200"/>
        <w:outlineLvl w:val="0"/>
        <w:rPr>
          <w:rFonts w:hint="default" w:ascii="黑体" w:hAnsi="黑体" w:eastAsia="黑体" w:cs="黑体"/>
          <w:color w:val="FF0000"/>
          <w:kern w:val="0"/>
          <w:sz w:val="28"/>
          <w:szCs w:val="28"/>
          <w:lang w:val="en-US" w:eastAsia="zh-CN"/>
        </w:rPr>
      </w:pPr>
      <w:bookmarkStart w:id="8" w:name="_Toc17087"/>
      <w:r>
        <w:rPr>
          <w:rFonts w:hint="eastAsia" w:ascii="黑体" w:hAnsi="黑体" w:eastAsia="黑体" w:cs="黑体"/>
          <w:kern w:val="0"/>
          <w:sz w:val="28"/>
          <w:szCs w:val="28"/>
        </w:rPr>
        <w:t>四、成果的推广应用效果</w:t>
      </w:r>
      <w:bookmarkEnd w:id="8"/>
      <w:bookmarkStart w:id="9" w:name="_Toc1598"/>
    </w:p>
    <w:p>
      <w:pPr>
        <w:pStyle w:val="4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440" w:lineRule="exact"/>
        <w:ind w:firstLine="482" w:firstLineChars="200"/>
        <w:textAlignment w:val="auto"/>
        <w:rPr>
          <w:rFonts w:hint="eastAsia" w:ascii="宋体" w:hAnsi="宋体" w:eastAsia="宋体" w:cs="宋体"/>
          <w:b/>
          <w:bCs/>
          <w:color w:val="auto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  <w:lang w:val="en-US" w:eastAsia="zh-CN"/>
        </w:rPr>
        <w:t>（一）育人质量显著提升，培育了一批文化型、创新型非遗传承人，培养了数万名竹产业技术人才，对口就业率高达96.45%。</w:t>
      </w:r>
    </w:p>
    <w:p>
      <w:pPr>
        <w:spacing w:line="440" w:lineRule="exact"/>
        <w:ind w:firstLine="480" w:firstLineChars="200"/>
        <w:outlineLvl w:val="0"/>
        <w:rPr>
          <w:rFonts w:hint="eastAsia" w:ascii="Times New Roman" w:hAnsi="Times New Roman" w:eastAsia="宋体" w:cs="Times New Roman"/>
          <w:kern w:val="0"/>
          <w:sz w:val="24"/>
          <w:szCs w:val="24"/>
        </w:rPr>
      </w:pPr>
      <w:r>
        <w:rPr>
          <w:rFonts w:hint="eastAsia" w:ascii="Times New Roman" w:hAnsi="Times New Roman" w:eastAsia="宋体" w:cs="Times New Roman"/>
          <w:kern w:val="0"/>
          <w:sz w:val="24"/>
          <w:szCs w:val="24"/>
        </w:rPr>
        <w:t>2012年起，竹编专业学生参加眉山市综合素质大赛连续9年获一等奖，参加全国职业院校学生技术技能创新成果交流赛获国家一等奖3项、二等奖5项、三等奖5项。</w:t>
      </w:r>
    </w:p>
    <w:p>
      <w:pPr>
        <w:spacing w:line="440" w:lineRule="exact"/>
        <w:ind w:firstLine="420" w:firstLineChars="200"/>
        <w:outlineLvl w:val="0"/>
        <w:rPr>
          <w:rFonts w:hint="eastAsia" w:ascii="Times New Roman" w:hAnsi="Times New Roman" w:eastAsia="宋体" w:cs="Times New Roman"/>
          <w:kern w:val="0"/>
          <w:sz w:val="24"/>
          <w:szCs w:val="24"/>
        </w:rPr>
      </w:pPr>
      <w: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1084580</wp:posOffset>
            </wp:positionH>
            <wp:positionV relativeFrom="paragraph">
              <wp:posOffset>120015</wp:posOffset>
            </wp:positionV>
            <wp:extent cx="3229610" cy="1924685"/>
            <wp:effectExtent l="0" t="0" r="1270" b="10795"/>
            <wp:wrapNone/>
            <wp:docPr id="24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16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229610" cy="1924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440" w:lineRule="exact"/>
        <w:ind w:firstLine="480" w:firstLineChars="200"/>
        <w:outlineLvl w:val="0"/>
        <w:rPr>
          <w:rFonts w:hint="eastAsia" w:ascii="Times New Roman" w:hAnsi="Times New Roman" w:eastAsia="宋体" w:cs="Times New Roman"/>
          <w:kern w:val="0"/>
          <w:sz w:val="24"/>
          <w:szCs w:val="24"/>
        </w:rPr>
      </w:pPr>
    </w:p>
    <w:p>
      <w:pPr>
        <w:spacing w:line="440" w:lineRule="exact"/>
        <w:ind w:firstLine="480" w:firstLineChars="200"/>
        <w:outlineLvl w:val="0"/>
        <w:rPr>
          <w:rFonts w:hint="eastAsia" w:ascii="Times New Roman" w:hAnsi="Times New Roman" w:eastAsia="宋体" w:cs="Times New Roman"/>
          <w:kern w:val="0"/>
          <w:sz w:val="24"/>
          <w:szCs w:val="24"/>
        </w:rPr>
      </w:pPr>
    </w:p>
    <w:p>
      <w:pPr>
        <w:spacing w:line="440" w:lineRule="exact"/>
        <w:ind w:firstLine="480" w:firstLineChars="200"/>
        <w:outlineLvl w:val="0"/>
        <w:rPr>
          <w:rFonts w:hint="eastAsia" w:ascii="Times New Roman" w:hAnsi="Times New Roman" w:eastAsia="宋体" w:cs="Times New Roman"/>
          <w:kern w:val="0"/>
          <w:sz w:val="24"/>
          <w:szCs w:val="24"/>
        </w:rPr>
      </w:pPr>
    </w:p>
    <w:p>
      <w:pPr>
        <w:spacing w:line="440" w:lineRule="exact"/>
        <w:ind w:firstLine="480" w:firstLineChars="200"/>
        <w:outlineLvl w:val="0"/>
        <w:rPr>
          <w:rFonts w:hint="eastAsia" w:ascii="Times New Roman" w:hAnsi="Times New Roman" w:eastAsia="宋体" w:cs="Times New Roman"/>
          <w:kern w:val="0"/>
          <w:sz w:val="24"/>
          <w:szCs w:val="24"/>
        </w:rPr>
      </w:pPr>
    </w:p>
    <w:p>
      <w:pPr>
        <w:spacing w:line="440" w:lineRule="exact"/>
        <w:ind w:firstLine="480" w:firstLineChars="200"/>
        <w:outlineLvl w:val="0"/>
        <w:rPr>
          <w:rFonts w:hint="eastAsia" w:ascii="Times New Roman" w:hAnsi="Times New Roman" w:eastAsia="宋体" w:cs="Times New Roman"/>
          <w:kern w:val="0"/>
          <w:sz w:val="24"/>
          <w:szCs w:val="24"/>
        </w:rPr>
      </w:pPr>
    </w:p>
    <w:p>
      <w:pPr>
        <w:spacing w:line="440" w:lineRule="exact"/>
        <w:outlineLvl w:val="0"/>
        <w:rPr>
          <w:rFonts w:hint="eastAsia" w:ascii="Times New Roman" w:hAnsi="Times New Roman" w:eastAsia="宋体" w:cs="Times New Roman"/>
          <w:kern w:val="0"/>
          <w:sz w:val="24"/>
          <w:szCs w:val="24"/>
        </w:rPr>
      </w:pPr>
    </w:p>
    <w:p>
      <w:pPr>
        <w:spacing w:line="440" w:lineRule="exact"/>
        <w:outlineLvl w:val="0"/>
        <w:rPr>
          <w:rFonts w:hint="eastAsia" w:ascii="Times New Roman" w:hAnsi="Times New Roman" w:eastAsia="宋体" w:cs="Times New Roman"/>
          <w:kern w:val="0"/>
          <w:sz w:val="24"/>
          <w:szCs w:val="24"/>
        </w:rPr>
      </w:pPr>
    </w:p>
    <w:p>
      <w:pPr>
        <w:spacing w:line="440" w:lineRule="exact"/>
        <w:jc w:val="center"/>
        <w:rPr>
          <w:rFonts w:hint="eastAsia" w:ascii="Times New Roman" w:hAnsi="Times New Roman" w:eastAsia="宋体" w:cs="Times New Roman"/>
          <w:kern w:val="0"/>
          <w:sz w:val="24"/>
          <w:szCs w:val="24"/>
        </w:rPr>
      </w:pPr>
      <w:r>
        <w:rPr>
          <w:rFonts w:hint="eastAsia" w:ascii="Times New Roman" w:hAnsi="Times New Roman" w:eastAsia="楷体_GB2312" w:cs="Times New Roman"/>
          <w:bCs/>
          <w:color w:val="000000"/>
          <w:szCs w:val="21"/>
        </w:rPr>
        <w:t>表</w:t>
      </w:r>
      <w:r>
        <w:rPr>
          <w:rFonts w:hint="eastAsia" w:ascii="Times New Roman" w:hAnsi="Times New Roman" w:eastAsia="楷体_GB2312" w:cs="Times New Roman"/>
          <w:bCs/>
          <w:color w:val="000000"/>
          <w:szCs w:val="21"/>
          <w:lang w:val="en-US" w:eastAsia="zh-CN"/>
        </w:rPr>
        <w:t>1</w:t>
      </w:r>
      <w:r>
        <w:rPr>
          <w:rFonts w:hint="eastAsia" w:ascii="Times New Roman" w:hAnsi="Times New Roman" w:eastAsia="楷体_GB2312" w:cs="Times New Roman"/>
          <w:bCs/>
          <w:color w:val="000000"/>
          <w:szCs w:val="21"/>
        </w:rPr>
        <w:t xml:space="preserve"> 学生获奖统计表</w:t>
      </w:r>
    </w:p>
    <w:p>
      <w:pPr>
        <w:pStyle w:val="4"/>
        <w:spacing w:before="40" w:after="40" w:line="360" w:lineRule="auto"/>
        <w:ind w:firstLine="643" w:firstLineChars="200"/>
        <w:rPr>
          <w:rFonts w:hint="eastAsia" w:ascii="Times New Roman" w:hAnsi="Times New Roman" w:eastAsia="宋体" w:cs="Times New Roman"/>
          <w:b w:val="0"/>
          <w:bCs w:val="0"/>
          <w:kern w:val="0"/>
          <w:sz w:val="24"/>
          <w:szCs w:val="24"/>
        </w:rPr>
      </w:pPr>
      <w: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610235</wp:posOffset>
            </wp:positionH>
            <wp:positionV relativeFrom="paragraph">
              <wp:posOffset>1083310</wp:posOffset>
            </wp:positionV>
            <wp:extent cx="4028440" cy="2476500"/>
            <wp:effectExtent l="4445" t="4445" r="5715" b="14605"/>
            <wp:wrapNone/>
            <wp:docPr id="23" name="图表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4"/>
              </a:graphicData>
            </a:graphic>
          </wp:anchor>
        </w:drawing>
      </w:r>
      <w:r>
        <w:rPr>
          <w:rFonts w:hint="eastAsia" w:ascii="Times New Roman" w:hAnsi="Times New Roman" w:eastAsia="宋体" w:cs="Times New Roman"/>
          <w:b w:val="0"/>
          <w:bCs w:val="0"/>
          <w:kern w:val="0"/>
          <w:sz w:val="24"/>
          <w:szCs w:val="24"/>
        </w:rPr>
        <w:t>34年来，培养竹产业人才10万人以上</w:t>
      </w:r>
      <w:r>
        <w:rPr>
          <w:rFonts w:hint="eastAsia" w:ascii="Times New Roman" w:hAnsi="Times New Roman" w:eastAsia="宋体" w:cs="Times New Roman"/>
          <w:b w:val="0"/>
          <w:bCs w:val="0"/>
          <w:kern w:val="0"/>
          <w:sz w:val="24"/>
          <w:szCs w:val="24"/>
          <w:lang w:eastAsia="zh-CN"/>
        </w:rPr>
        <w:t>，优秀学生频出：</w:t>
      </w:r>
      <w:r>
        <w:rPr>
          <w:rFonts w:hint="eastAsia" w:ascii="Times New Roman" w:hAnsi="Times New Roman" w:eastAsia="宋体" w:cs="Times New Roman"/>
          <w:b w:val="0"/>
          <w:bCs w:val="0"/>
          <w:kern w:val="0"/>
          <w:sz w:val="24"/>
          <w:szCs w:val="24"/>
        </w:rPr>
        <w:t>评为全国劳动模范1人、获四川省工艺美术大师称号3人、各级传承人27人、</w:t>
      </w:r>
      <w:r>
        <w:rPr>
          <w:rFonts w:hint="eastAsia" w:ascii="Times New Roman" w:hAnsi="Times New Roman" w:eastAsia="宋体" w:cs="Times New Roman"/>
          <w:b w:val="0"/>
          <w:bCs w:val="0"/>
          <w:kern w:val="0"/>
          <w:sz w:val="24"/>
          <w:szCs w:val="24"/>
          <w:lang w:eastAsia="zh-CN"/>
        </w:rPr>
        <w:t>优秀</w:t>
      </w:r>
      <w:r>
        <w:rPr>
          <w:rFonts w:hint="eastAsia" w:ascii="Times New Roman" w:hAnsi="Times New Roman" w:eastAsia="宋体" w:cs="Times New Roman"/>
          <w:b w:val="0"/>
          <w:bCs w:val="0"/>
          <w:kern w:val="0"/>
          <w:sz w:val="24"/>
          <w:szCs w:val="24"/>
        </w:rPr>
        <w:t>竹企经营管理者100余人</w:t>
      </w:r>
      <w:r>
        <w:rPr>
          <w:rFonts w:hint="eastAsia" w:ascii="Times New Roman" w:hAnsi="Times New Roman" w:eastAsia="宋体" w:cs="Times New Roman"/>
          <w:b w:val="0"/>
          <w:bCs w:val="0"/>
          <w:kern w:val="0"/>
          <w:sz w:val="24"/>
          <w:szCs w:val="24"/>
          <w:lang w:eastAsia="zh-CN"/>
        </w:rPr>
        <w:t>。</w:t>
      </w:r>
      <w:r>
        <w:rPr>
          <w:rFonts w:hint="eastAsia" w:ascii="Times New Roman" w:hAnsi="Times New Roman" w:eastAsia="宋体" w:cs="Times New Roman"/>
          <w:b w:val="0"/>
          <w:bCs w:val="0"/>
          <w:kern w:val="0"/>
          <w:sz w:val="24"/>
          <w:szCs w:val="24"/>
        </w:rPr>
        <w:t>10余名学生先后走上教育岗位，成为学校或竹编技能培训机构教师。</w:t>
      </w:r>
    </w:p>
    <w:p>
      <w:pPr>
        <w:rPr>
          <w:rFonts w:hint="eastAsia" w:ascii="Times New Roman" w:hAnsi="Times New Roman" w:eastAsia="宋体" w:cs="Times New Roman"/>
          <w:b w:val="0"/>
          <w:bCs w:val="0"/>
          <w:kern w:val="0"/>
          <w:sz w:val="24"/>
          <w:szCs w:val="24"/>
        </w:rPr>
      </w:pPr>
    </w:p>
    <w:p>
      <w:pPr>
        <w:rPr>
          <w:rFonts w:hint="eastAsia" w:ascii="Times New Roman" w:hAnsi="Times New Roman" w:eastAsia="宋体" w:cs="Times New Roman"/>
          <w:b w:val="0"/>
          <w:bCs w:val="0"/>
          <w:kern w:val="0"/>
          <w:sz w:val="24"/>
          <w:szCs w:val="24"/>
        </w:rPr>
      </w:pPr>
    </w:p>
    <w:p>
      <w:pPr>
        <w:rPr>
          <w:rFonts w:hint="eastAsia" w:ascii="Times New Roman" w:hAnsi="Times New Roman" w:eastAsia="宋体" w:cs="Times New Roman"/>
          <w:b w:val="0"/>
          <w:bCs w:val="0"/>
          <w:kern w:val="0"/>
          <w:sz w:val="24"/>
          <w:szCs w:val="24"/>
        </w:rPr>
      </w:pPr>
    </w:p>
    <w:p>
      <w:pPr>
        <w:rPr>
          <w:rFonts w:hint="eastAsia" w:ascii="Times New Roman" w:hAnsi="Times New Roman" w:eastAsia="宋体" w:cs="Times New Roman"/>
          <w:b w:val="0"/>
          <w:bCs w:val="0"/>
          <w:kern w:val="0"/>
          <w:sz w:val="24"/>
          <w:szCs w:val="24"/>
        </w:rPr>
      </w:pPr>
    </w:p>
    <w:p>
      <w:pPr>
        <w:rPr>
          <w:rFonts w:hint="eastAsia" w:ascii="Times New Roman" w:hAnsi="Times New Roman" w:eastAsia="宋体" w:cs="Times New Roman"/>
          <w:b w:val="0"/>
          <w:bCs w:val="0"/>
          <w:kern w:val="0"/>
          <w:sz w:val="24"/>
          <w:szCs w:val="24"/>
        </w:rPr>
      </w:pPr>
    </w:p>
    <w:p>
      <w:pPr>
        <w:rPr>
          <w:rFonts w:hint="eastAsia" w:ascii="Times New Roman" w:hAnsi="Times New Roman" w:eastAsia="宋体" w:cs="Times New Roman"/>
          <w:b w:val="0"/>
          <w:bCs w:val="0"/>
          <w:kern w:val="0"/>
          <w:sz w:val="24"/>
          <w:szCs w:val="24"/>
        </w:rPr>
      </w:pPr>
    </w:p>
    <w:p>
      <w:pPr>
        <w:rPr>
          <w:rFonts w:hint="eastAsia" w:ascii="Times New Roman" w:hAnsi="Times New Roman" w:eastAsia="宋体" w:cs="Times New Roman"/>
          <w:b w:val="0"/>
          <w:bCs w:val="0"/>
          <w:kern w:val="0"/>
          <w:sz w:val="24"/>
          <w:szCs w:val="24"/>
        </w:rPr>
      </w:pPr>
    </w:p>
    <w:p>
      <w:pPr>
        <w:rPr>
          <w:rFonts w:hint="eastAsia" w:ascii="Times New Roman" w:hAnsi="Times New Roman" w:eastAsia="宋体" w:cs="Times New Roman"/>
          <w:b w:val="0"/>
          <w:bCs w:val="0"/>
          <w:kern w:val="0"/>
          <w:sz w:val="24"/>
          <w:szCs w:val="24"/>
        </w:rPr>
      </w:pPr>
    </w:p>
    <w:p>
      <w:pPr>
        <w:rPr>
          <w:rFonts w:hint="eastAsia" w:ascii="Times New Roman" w:hAnsi="Times New Roman" w:eastAsia="宋体" w:cs="Times New Roman"/>
          <w:b w:val="0"/>
          <w:bCs w:val="0"/>
          <w:kern w:val="0"/>
          <w:sz w:val="24"/>
          <w:szCs w:val="24"/>
        </w:rPr>
      </w:pPr>
    </w:p>
    <w:p>
      <w:pPr>
        <w:rPr>
          <w:rFonts w:hint="eastAsia" w:ascii="Times New Roman" w:hAnsi="Times New Roman" w:eastAsia="宋体" w:cs="Times New Roman"/>
          <w:b w:val="0"/>
          <w:bCs w:val="0"/>
          <w:kern w:val="0"/>
          <w:sz w:val="24"/>
          <w:szCs w:val="24"/>
        </w:rPr>
      </w:pPr>
    </w:p>
    <w:p>
      <w:pPr>
        <w:rPr>
          <w:rFonts w:hint="eastAsia" w:ascii="Times New Roman" w:hAnsi="Times New Roman" w:eastAsia="宋体" w:cs="Times New Roman"/>
          <w:b w:val="0"/>
          <w:bCs w:val="0"/>
          <w:kern w:val="0"/>
          <w:sz w:val="24"/>
          <w:szCs w:val="24"/>
        </w:rPr>
      </w:pPr>
    </w:p>
    <w:p>
      <w:pPr>
        <w:rPr>
          <w:rFonts w:hint="eastAsia" w:ascii="Times New Roman" w:hAnsi="Times New Roman" w:eastAsia="宋体" w:cs="Times New Roman"/>
          <w:b w:val="0"/>
          <w:bCs w:val="0"/>
          <w:kern w:val="0"/>
          <w:sz w:val="24"/>
          <w:szCs w:val="24"/>
        </w:rPr>
      </w:pPr>
    </w:p>
    <w:p>
      <w:pPr>
        <w:spacing w:line="440" w:lineRule="exact"/>
        <w:jc w:val="center"/>
        <w:rPr>
          <w:rFonts w:ascii="黑体" w:hAnsi="黑体" w:eastAsia="黑体" w:cs="宋体"/>
          <w:bCs/>
          <w:color w:val="000000"/>
          <w:szCs w:val="21"/>
        </w:rPr>
      </w:pPr>
      <w:r>
        <w:rPr>
          <w:rFonts w:hint="eastAsia" w:eastAsia="楷体_GB2312"/>
          <w:bCs/>
          <w:color w:val="000000"/>
          <w:szCs w:val="21"/>
          <w:lang w:val="en-US" w:eastAsia="zh-CN"/>
        </w:rPr>
        <w:t>图7</w:t>
      </w:r>
      <w:r>
        <w:rPr>
          <w:rFonts w:hint="eastAsia" w:eastAsia="楷体_GB2312"/>
          <w:bCs/>
          <w:color w:val="000000"/>
          <w:szCs w:val="21"/>
        </w:rPr>
        <w:t xml:space="preserve"> </w:t>
      </w:r>
      <w:r>
        <w:rPr>
          <w:rFonts w:eastAsia="楷体_GB2312"/>
          <w:bCs/>
          <w:color w:val="000000"/>
          <w:szCs w:val="21"/>
        </w:rPr>
        <w:t>学生参与</w:t>
      </w:r>
      <w:r>
        <w:rPr>
          <w:rFonts w:hint="eastAsia" w:eastAsia="楷体_GB2312"/>
          <w:bCs/>
          <w:color w:val="000000"/>
          <w:szCs w:val="21"/>
        </w:rPr>
        <w:t>（独立</w:t>
      </w:r>
      <w:r>
        <w:rPr>
          <w:rFonts w:eastAsia="楷体_GB2312"/>
          <w:bCs/>
          <w:color w:val="000000"/>
          <w:szCs w:val="21"/>
        </w:rPr>
        <w:t>）创建的</w:t>
      </w:r>
      <w:r>
        <w:rPr>
          <w:rFonts w:hint="eastAsia" w:eastAsia="楷体_GB2312"/>
          <w:bCs/>
          <w:color w:val="000000"/>
          <w:szCs w:val="21"/>
        </w:rPr>
        <w:t>竹产业企业/作坊数</w:t>
      </w:r>
    </w:p>
    <w:p>
      <w:pPr>
        <w:rPr>
          <w:rFonts w:hint="eastAsia"/>
        </w:rPr>
      </w:pPr>
    </w:p>
    <w:p>
      <w:pPr>
        <w:pStyle w:val="4"/>
        <w:spacing w:before="40" w:after="40" w:line="360" w:lineRule="auto"/>
        <w:ind w:firstLine="643" w:firstLineChars="200"/>
        <w:rPr>
          <w:rFonts w:hint="eastAsia" w:ascii="Times New Roman" w:hAnsi="Times New Roman" w:eastAsia="宋体" w:cs="Times New Roman"/>
          <w:b w:val="0"/>
          <w:bCs w:val="0"/>
          <w:kern w:val="0"/>
          <w:sz w:val="24"/>
          <w:szCs w:val="24"/>
        </w:rPr>
      </w:pPr>
      <w: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533400</wp:posOffset>
            </wp:positionH>
            <wp:positionV relativeFrom="paragraph">
              <wp:posOffset>74295</wp:posOffset>
            </wp:positionV>
            <wp:extent cx="3975100" cy="2067560"/>
            <wp:effectExtent l="4445" t="4445" r="13335" b="15875"/>
            <wp:wrapNone/>
            <wp:docPr id="22" name="图表 2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5"/>
              </a:graphicData>
            </a:graphic>
          </wp:anchor>
        </w:drawing>
      </w:r>
    </w:p>
    <w:p>
      <w:pPr>
        <w:pStyle w:val="4"/>
        <w:spacing w:before="40" w:after="40" w:line="360" w:lineRule="auto"/>
        <w:ind w:firstLine="480" w:firstLineChars="200"/>
        <w:rPr>
          <w:rFonts w:hint="eastAsia" w:ascii="Times New Roman" w:hAnsi="Times New Roman" w:eastAsia="宋体" w:cs="Times New Roman"/>
          <w:b w:val="0"/>
          <w:bCs w:val="0"/>
          <w:kern w:val="0"/>
          <w:sz w:val="24"/>
          <w:szCs w:val="24"/>
        </w:rPr>
      </w:pPr>
    </w:p>
    <w:p>
      <w:pPr>
        <w:pStyle w:val="4"/>
        <w:spacing w:before="40" w:after="40" w:line="360" w:lineRule="auto"/>
        <w:ind w:firstLine="480" w:firstLineChars="200"/>
        <w:rPr>
          <w:rFonts w:hint="eastAsia" w:ascii="Times New Roman" w:hAnsi="Times New Roman" w:eastAsia="宋体" w:cs="Times New Roman"/>
          <w:b w:val="0"/>
          <w:bCs w:val="0"/>
          <w:kern w:val="0"/>
          <w:sz w:val="24"/>
          <w:szCs w:val="24"/>
        </w:rPr>
      </w:pPr>
    </w:p>
    <w:p>
      <w:pPr>
        <w:pStyle w:val="4"/>
        <w:spacing w:before="40" w:after="40" w:line="360" w:lineRule="auto"/>
        <w:ind w:firstLine="480" w:firstLineChars="200"/>
        <w:rPr>
          <w:rFonts w:hint="eastAsia" w:ascii="Times New Roman" w:hAnsi="Times New Roman" w:eastAsia="宋体" w:cs="Times New Roman"/>
          <w:b w:val="0"/>
          <w:bCs w:val="0"/>
          <w:kern w:val="0"/>
          <w:sz w:val="24"/>
          <w:szCs w:val="24"/>
        </w:rPr>
      </w:pPr>
    </w:p>
    <w:p>
      <w:pPr>
        <w:pStyle w:val="4"/>
        <w:spacing w:before="40" w:after="40" w:line="360" w:lineRule="auto"/>
        <w:ind w:firstLine="480" w:firstLineChars="200"/>
        <w:rPr>
          <w:rFonts w:hint="eastAsia" w:ascii="Times New Roman" w:hAnsi="Times New Roman" w:eastAsia="宋体" w:cs="Times New Roman"/>
          <w:b w:val="0"/>
          <w:bCs w:val="0"/>
          <w:kern w:val="0"/>
          <w:sz w:val="24"/>
          <w:szCs w:val="24"/>
        </w:rPr>
      </w:pPr>
    </w:p>
    <w:p>
      <w:pPr>
        <w:pStyle w:val="4"/>
        <w:spacing w:before="40" w:after="40" w:line="360" w:lineRule="auto"/>
        <w:ind w:firstLine="480" w:firstLineChars="200"/>
        <w:rPr>
          <w:rFonts w:hint="eastAsia" w:ascii="Times New Roman" w:hAnsi="Times New Roman" w:eastAsia="宋体" w:cs="Times New Roman"/>
          <w:b w:val="0"/>
          <w:bCs w:val="0"/>
          <w:kern w:val="0"/>
          <w:sz w:val="24"/>
          <w:szCs w:val="24"/>
        </w:rPr>
      </w:pPr>
    </w:p>
    <w:p>
      <w:pPr>
        <w:spacing w:line="440" w:lineRule="exact"/>
        <w:jc w:val="both"/>
        <w:rPr>
          <w:rFonts w:eastAsia="楷体_GB2312"/>
          <w:bCs/>
          <w:color w:val="000000"/>
          <w:szCs w:val="21"/>
        </w:rPr>
      </w:pPr>
    </w:p>
    <w:p>
      <w:pPr>
        <w:spacing w:line="440" w:lineRule="exact"/>
        <w:jc w:val="center"/>
        <w:rPr>
          <w:rFonts w:ascii="Times New Roman" w:hAnsi="Times New Roman" w:eastAsia="宋体" w:cs="Times New Roman"/>
          <w:b w:val="0"/>
          <w:bCs w:val="0"/>
          <w:kern w:val="0"/>
          <w:sz w:val="24"/>
          <w:szCs w:val="24"/>
        </w:rPr>
      </w:pPr>
      <w:r>
        <w:rPr>
          <w:rFonts w:hint="eastAsia" w:eastAsia="楷体_GB2312"/>
          <w:bCs/>
          <w:color w:val="000000"/>
          <w:szCs w:val="21"/>
          <w:lang w:val="en-US" w:eastAsia="zh-CN"/>
        </w:rPr>
        <w:t>图8</w:t>
      </w:r>
      <w:r>
        <w:rPr>
          <w:rFonts w:hint="eastAsia" w:eastAsia="楷体_GB2312"/>
          <w:bCs/>
          <w:color w:val="000000"/>
          <w:szCs w:val="21"/>
        </w:rPr>
        <w:t xml:space="preserve"> 毕业生对口</w:t>
      </w:r>
      <w:r>
        <w:rPr>
          <w:rFonts w:eastAsia="楷体_GB2312"/>
          <w:bCs/>
          <w:color w:val="000000"/>
          <w:szCs w:val="21"/>
        </w:rPr>
        <w:t>就业人数占比</w:t>
      </w:r>
    </w:p>
    <w:p>
      <w:pPr>
        <w:spacing w:line="440" w:lineRule="exact"/>
        <w:ind w:firstLine="482" w:firstLineChars="200"/>
        <w:jc w:val="left"/>
        <w:rPr>
          <w:rFonts w:ascii="Times New Roman" w:hAnsi="Times New Roman" w:eastAsia="宋体" w:cs="Times New Roman"/>
          <w:sz w:val="24"/>
        </w:rPr>
      </w:pPr>
      <w:r>
        <w:rPr>
          <w:rFonts w:ascii="宋体" w:hAnsi="宋体" w:eastAsia="宋体"/>
          <w:b/>
          <w:bCs/>
          <w:sz w:val="24"/>
          <w:szCs w:val="24"/>
        </w:rPr>
        <w:t>2.传承</w:t>
      </w:r>
      <w:r>
        <w:rPr>
          <w:rFonts w:hint="eastAsia" w:ascii="宋体" w:hAnsi="宋体" w:eastAsia="宋体"/>
          <w:b/>
          <w:bCs/>
          <w:sz w:val="24"/>
          <w:szCs w:val="24"/>
          <w:lang w:eastAsia="zh-CN"/>
        </w:rPr>
        <w:t>了</w:t>
      </w:r>
      <w:r>
        <w:rPr>
          <w:rFonts w:ascii="宋体" w:hAnsi="宋体" w:eastAsia="宋体"/>
          <w:b/>
          <w:bCs/>
          <w:sz w:val="24"/>
          <w:szCs w:val="24"/>
        </w:rPr>
        <w:t>非遗文化</w:t>
      </w:r>
      <w:r>
        <w:rPr>
          <w:rFonts w:hint="eastAsia" w:ascii="宋体" w:hAnsi="宋体" w:eastAsia="宋体"/>
          <w:b/>
          <w:bCs/>
          <w:sz w:val="24"/>
          <w:szCs w:val="24"/>
          <w:lang w:eastAsia="zh-CN"/>
        </w:rPr>
        <w:t>，</w:t>
      </w:r>
      <w:r>
        <w:rPr>
          <w:rFonts w:ascii="宋体" w:hAnsi="宋体" w:eastAsia="宋体"/>
          <w:b/>
          <w:bCs/>
          <w:sz w:val="24"/>
          <w:szCs w:val="24"/>
        </w:rPr>
        <w:t>支撑</w:t>
      </w:r>
      <w:r>
        <w:rPr>
          <w:rFonts w:hint="eastAsia" w:ascii="宋体" w:hAnsi="宋体" w:eastAsia="宋体"/>
          <w:b/>
          <w:bCs/>
          <w:sz w:val="24"/>
          <w:szCs w:val="24"/>
          <w:lang w:eastAsia="zh-CN"/>
        </w:rPr>
        <w:t>了</w:t>
      </w:r>
      <w:r>
        <w:rPr>
          <w:rFonts w:ascii="宋体" w:hAnsi="宋体" w:eastAsia="宋体"/>
          <w:b/>
          <w:bCs/>
          <w:sz w:val="24"/>
          <w:szCs w:val="24"/>
        </w:rPr>
        <w:t>竹编产业，助推</w:t>
      </w:r>
      <w:r>
        <w:rPr>
          <w:rFonts w:hint="eastAsia" w:ascii="宋体" w:hAnsi="宋体" w:eastAsia="宋体"/>
          <w:b/>
          <w:bCs/>
          <w:sz w:val="24"/>
          <w:szCs w:val="24"/>
          <w:lang w:eastAsia="zh-CN"/>
        </w:rPr>
        <w:t>了</w:t>
      </w:r>
      <w:r>
        <w:rPr>
          <w:rFonts w:ascii="宋体" w:hAnsi="宋体" w:eastAsia="宋体"/>
          <w:b/>
          <w:bCs/>
          <w:sz w:val="24"/>
          <w:szCs w:val="24"/>
        </w:rPr>
        <w:t>区域经济，服务“一带一路”。</w:t>
      </w:r>
    </w:p>
    <w:p>
      <w:pPr>
        <w:spacing w:line="440" w:lineRule="exact"/>
        <w:ind w:firstLine="480" w:firstLineChars="200"/>
        <w:jc w:val="left"/>
        <w:rPr>
          <w:rFonts w:ascii="Times New Roman" w:hAnsi="Times New Roman" w:eastAsia="宋体" w:cs="Times New Roman"/>
          <w:sz w:val="24"/>
        </w:rPr>
      </w:pPr>
      <w:r>
        <w:rPr>
          <w:rFonts w:ascii="Times New Roman" w:hAnsi="Times New Roman" w:eastAsia="宋体" w:cs="Times New Roman"/>
          <w:sz w:val="24"/>
        </w:rPr>
        <w:t>育人实践让青神竹艺</w:t>
      </w:r>
      <w:r>
        <w:rPr>
          <w:rFonts w:hint="eastAsia" w:ascii="Times New Roman" w:hAnsi="Times New Roman" w:eastAsia="宋体" w:cs="Times New Roman"/>
          <w:sz w:val="24"/>
          <w:lang w:eastAsia="zh-CN"/>
        </w:rPr>
        <w:t>技术水平</w:t>
      </w:r>
      <w:r>
        <w:rPr>
          <w:rFonts w:ascii="Times New Roman" w:hAnsi="Times New Roman" w:eastAsia="宋体" w:cs="Times New Roman"/>
          <w:sz w:val="24"/>
        </w:rPr>
        <w:t>不断提升，显现出独特的</w:t>
      </w:r>
      <w:r>
        <w:rPr>
          <w:rFonts w:hint="eastAsia" w:ascii="Times New Roman" w:hAnsi="Times New Roman" w:eastAsia="宋体" w:cs="Times New Roman"/>
          <w:sz w:val="24"/>
        </w:rPr>
        <w:t>精神</w:t>
      </w:r>
      <w:r>
        <w:rPr>
          <w:rFonts w:ascii="Times New Roman" w:hAnsi="Times New Roman" w:eastAsia="宋体" w:cs="Times New Roman"/>
          <w:sz w:val="24"/>
        </w:rPr>
        <w:t>文化价值。不断推陈出新，</w:t>
      </w:r>
      <w:r>
        <w:rPr>
          <w:rFonts w:ascii="宋体" w:hAnsi="宋体" w:eastAsia="宋体" w:cs="宋体"/>
          <w:sz w:val="24"/>
          <w:szCs w:val="24"/>
        </w:rPr>
        <w:t>2013年</w:t>
      </w:r>
      <w:r>
        <w:rPr>
          <w:rFonts w:hint="eastAsia" w:ascii="宋体" w:hAnsi="宋体" w:eastAsia="宋体" w:cs="宋体"/>
          <w:sz w:val="24"/>
          <w:szCs w:val="24"/>
        </w:rPr>
        <w:t>作品</w:t>
      </w:r>
      <w:r>
        <w:rPr>
          <w:rFonts w:ascii="宋体" w:hAnsi="宋体" w:eastAsia="宋体" w:cs="宋体"/>
          <w:sz w:val="24"/>
          <w:szCs w:val="24"/>
        </w:rPr>
        <w:t>《苦乐清凉》获中国民间文艺最高奖“山花奖”</w:t>
      </w:r>
      <w:r>
        <w:rPr>
          <w:rFonts w:hint="eastAsia" w:ascii="宋体" w:hAnsi="宋体" w:eastAsia="宋体" w:cs="宋体"/>
          <w:sz w:val="24"/>
          <w:szCs w:val="24"/>
        </w:rPr>
        <w:t>；</w:t>
      </w:r>
      <w:r>
        <w:rPr>
          <w:rFonts w:ascii="Times New Roman" w:hAnsi="Times New Roman" w:eastAsia="宋体" w:cs="Times New Roman"/>
          <w:sz w:val="24"/>
        </w:rPr>
        <w:t>影响不断扩大，</w:t>
      </w:r>
      <w:r>
        <w:rPr>
          <w:rFonts w:hint="eastAsia" w:ascii="Times New Roman" w:hAnsi="Times New Roman" w:eastAsia="宋体" w:cs="Times New Roman"/>
          <w:sz w:val="24"/>
        </w:rPr>
        <w:t>2018</w:t>
      </w:r>
      <w:r>
        <w:rPr>
          <w:rFonts w:ascii="Times New Roman" w:hAnsi="Times New Roman" w:eastAsia="宋体" w:cs="Times New Roman"/>
          <w:sz w:val="24"/>
        </w:rPr>
        <w:t>年起</w:t>
      </w:r>
      <w:r>
        <w:rPr>
          <w:rFonts w:hint="eastAsia" w:ascii="宋体" w:hAnsi="宋体" w:eastAsia="宋体" w:cs="宋体"/>
          <w:sz w:val="24"/>
          <w:szCs w:val="24"/>
        </w:rPr>
        <w:t>青神县</w:t>
      </w:r>
      <w:r>
        <w:rPr>
          <w:rFonts w:ascii="宋体" w:hAnsi="宋体" w:eastAsia="宋体" w:cs="宋体"/>
          <w:sz w:val="24"/>
          <w:szCs w:val="24"/>
        </w:rPr>
        <w:t>被国际竹藤组织定为国际竹产业交易博览会永久举办地。</w:t>
      </w:r>
      <w:r>
        <w:rPr>
          <w:rFonts w:ascii="Times New Roman" w:hAnsi="Times New Roman" w:eastAsia="宋体" w:cs="Times New Roman"/>
          <w:sz w:val="24"/>
        </w:rPr>
        <w:t>学校与企业共同举办培训，为西藏、贵州、上海等10个省（市），以及“一带一路”沿线17个国家和地区培养竹编人才近2万人，让青神竹艺惠及全国，服务“一带一路”。</w:t>
      </w:r>
    </w:p>
    <w:p>
      <w:pPr>
        <w:spacing w:line="440" w:lineRule="exact"/>
        <w:ind w:firstLine="480" w:firstLineChars="200"/>
        <w:jc w:val="left"/>
        <w:rPr>
          <w:rFonts w:ascii="Times New Roman" w:hAnsi="Times New Roman" w:eastAsia="宋体" w:cs="Times New Roman"/>
          <w:sz w:val="24"/>
        </w:rPr>
      </w:pPr>
    </w:p>
    <w:p>
      <w:pPr>
        <w:spacing w:line="440" w:lineRule="exact"/>
        <w:ind w:firstLine="420" w:firstLineChars="200"/>
        <w:jc w:val="left"/>
        <w:rPr>
          <w:rFonts w:ascii="Times New Roman" w:hAnsi="Times New Roman" w:eastAsia="宋体" w:cs="Times New Roman"/>
          <w:sz w:val="24"/>
        </w:rPr>
      </w:pPr>
      <w: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671195</wp:posOffset>
            </wp:positionH>
            <wp:positionV relativeFrom="paragraph">
              <wp:posOffset>208915</wp:posOffset>
            </wp:positionV>
            <wp:extent cx="3684905" cy="2791460"/>
            <wp:effectExtent l="4445" t="4445" r="6350" b="23495"/>
            <wp:wrapNone/>
            <wp:docPr id="13" name="图表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6"/>
              </a:graphicData>
            </a:graphic>
          </wp:anchor>
        </w:drawing>
      </w:r>
    </w:p>
    <w:p>
      <w:pPr>
        <w:spacing w:line="440" w:lineRule="exact"/>
        <w:ind w:firstLine="480" w:firstLineChars="200"/>
        <w:jc w:val="left"/>
        <w:rPr>
          <w:rFonts w:ascii="Times New Roman" w:hAnsi="Times New Roman" w:eastAsia="宋体" w:cs="Times New Roman"/>
          <w:sz w:val="24"/>
        </w:rPr>
      </w:pPr>
    </w:p>
    <w:p>
      <w:pPr>
        <w:spacing w:line="440" w:lineRule="exact"/>
        <w:ind w:firstLine="480" w:firstLineChars="200"/>
        <w:jc w:val="left"/>
        <w:rPr>
          <w:rFonts w:ascii="Times New Roman" w:hAnsi="Times New Roman" w:eastAsia="宋体" w:cs="Times New Roman"/>
          <w:sz w:val="24"/>
        </w:rPr>
      </w:pPr>
    </w:p>
    <w:p>
      <w:pPr>
        <w:spacing w:line="440" w:lineRule="exact"/>
        <w:ind w:firstLine="480" w:firstLineChars="200"/>
        <w:jc w:val="left"/>
        <w:rPr>
          <w:rFonts w:ascii="Times New Roman" w:hAnsi="Times New Roman" w:eastAsia="宋体" w:cs="Times New Roman"/>
          <w:sz w:val="24"/>
        </w:rPr>
      </w:pPr>
    </w:p>
    <w:p>
      <w:pPr>
        <w:spacing w:line="440" w:lineRule="exact"/>
        <w:ind w:firstLine="480" w:firstLineChars="200"/>
        <w:jc w:val="left"/>
        <w:rPr>
          <w:rFonts w:ascii="Times New Roman" w:hAnsi="Times New Roman" w:eastAsia="宋体" w:cs="Times New Roman"/>
          <w:sz w:val="24"/>
        </w:rPr>
      </w:pPr>
    </w:p>
    <w:p>
      <w:pPr>
        <w:spacing w:line="440" w:lineRule="exact"/>
        <w:ind w:firstLine="480" w:firstLineChars="200"/>
        <w:jc w:val="left"/>
        <w:rPr>
          <w:rFonts w:ascii="Times New Roman" w:hAnsi="Times New Roman" w:eastAsia="宋体" w:cs="Times New Roman"/>
          <w:sz w:val="24"/>
        </w:rPr>
      </w:pPr>
    </w:p>
    <w:p>
      <w:pPr>
        <w:spacing w:line="440" w:lineRule="exact"/>
        <w:ind w:firstLine="480" w:firstLineChars="200"/>
        <w:jc w:val="left"/>
        <w:rPr>
          <w:rFonts w:ascii="Times New Roman" w:hAnsi="Times New Roman" w:eastAsia="宋体" w:cs="Times New Roman"/>
          <w:sz w:val="24"/>
        </w:rPr>
      </w:pPr>
    </w:p>
    <w:p>
      <w:pPr>
        <w:spacing w:line="440" w:lineRule="exact"/>
        <w:ind w:firstLine="480" w:firstLineChars="200"/>
        <w:jc w:val="left"/>
        <w:rPr>
          <w:rFonts w:ascii="Times New Roman" w:hAnsi="Times New Roman" w:eastAsia="宋体" w:cs="Times New Roman"/>
          <w:sz w:val="24"/>
        </w:rPr>
      </w:pPr>
    </w:p>
    <w:p>
      <w:pPr>
        <w:spacing w:line="440" w:lineRule="exact"/>
        <w:ind w:firstLine="480" w:firstLineChars="200"/>
        <w:jc w:val="left"/>
        <w:rPr>
          <w:rFonts w:ascii="Times New Roman" w:hAnsi="Times New Roman" w:eastAsia="宋体" w:cs="Times New Roman"/>
          <w:sz w:val="24"/>
        </w:rPr>
      </w:pPr>
    </w:p>
    <w:p>
      <w:pPr>
        <w:spacing w:line="440" w:lineRule="exact"/>
        <w:ind w:firstLine="480" w:firstLineChars="200"/>
        <w:jc w:val="left"/>
        <w:rPr>
          <w:rFonts w:ascii="Times New Roman" w:hAnsi="Times New Roman" w:eastAsia="宋体" w:cs="Times New Roman"/>
          <w:sz w:val="24"/>
        </w:rPr>
      </w:pPr>
    </w:p>
    <w:p>
      <w:pPr>
        <w:spacing w:line="440" w:lineRule="exact"/>
        <w:jc w:val="left"/>
        <w:rPr>
          <w:rFonts w:ascii="Times New Roman" w:hAnsi="Times New Roman" w:eastAsia="宋体" w:cs="Times New Roman"/>
          <w:sz w:val="24"/>
        </w:rPr>
      </w:pPr>
    </w:p>
    <w:p>
      <w:pPr>
        <w:spacing w:line="440" w:lineRule="exact"/>
        <w:ind w:firstLine="480" w:firstLineChars="200"/>
        <w:jc w:val="left"/>
        <w:rPr>
          <w:rFonts w:ascii="Times New Roman" w:hAnsi="Times New Roman" w:eastAsia="宋体" w:cs="Times New Roman"/>
          <w:sz w:val="24"/>
        </w:rPr>
      </w:pPr>
    </w:p>
    <w:p>
      <w:pPr>
        <w:widowControl/>
        <w:spacing w:line="440" w:lineRule="exact"/>
        <w:jc w:val="center"/>
        <w:rPr>
          <w:rFonts w:hint="eastAsia" w:ascii="Times New Roman" w:hAnsi="Times New Roman" w:eastAsia="楷体_GB2312" w:cs="Times New Roman"/>
          <w:bCs/>
          <w:color w:val="000000"/>
          <w:szCs w:val="21"/>
        </w:rPr>
      </w:pPr>
      <w:r>
        <w:rPr>
          <w:rFonts w:hint="eastAsia" w:ascii="Times New Roman" w:hAnsi="Times New Roman" w:eastAsia="楷体_GB2312" w:cs="Times New Roman"/>
          <w:bCs/>
          <w:color w:val="000000"/>
          <w:szCs w:val="21"/>
          <w:lang w:val="en-US" w:eastAsia="zh-CN"/>
        </w:rPr>
        <w:t>图9</w:t>
      </w:r>
      <w:r>
        <w:rPr>
          <w:rFonts w:hint="eastAsia" w:ascii="Times New Roman" w:hAnsi="Times New Roman" w:eastAsia="楷体_GB2312" w:cs="Times New Roman"/>
          <w:bCs/>
          <w:color w:val="000000"/>
          <w:szCs w:val="21"/>
        </w:rPr>
        <w:t xml:space="preserve"> 国际化培训人数</w:t>
      </w:r>
    </w:p>
    <w:p>
      <w:pPr>
        <w:widowControl/>
        <w:spacing w:line="440" w:lineRule="exact"/>
        <w:jc w:val="center"/>
        <w:rPr>
          <w:rFonts w:hint="eastAsia" w:ascii="Times New Roman" w:hAnsi="Times New Roman" w:eastAsia="楷体_GB2312" w:cs="Times New Roman"/>
          <w:bCs/>
          <w:color w:val="000000"/>
          <w:szCs w:val="21"/>
        </w:rPr>
      </w:pPr>
    </w:p>
    <w:p>
      <w:pPr>
        <w:widowControl/>
        <w:spacing w:line="440" w:lineRule="exact"/>
        <w:jc w:val="center"/>
        <w:rPr>
          <w:rFonts w:hint="eastAsia" w:ascii="Times New Roman" w:hAnsi="Times New Roman" w:eastAsia="楷体_GB2312" w:cs="Times New Roman"/>
          <w:bCs/>
          <w:color w:val="000000"/>
          <w:szCs w:val="21"/>
        </w:rPr>
      </w:pPr>
      <w: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187325</wp:posOffset>
            </wp:positionH>
            <wp:positionV relativeFrom="paragraph">
              <wp:posOffset>50165</wp:posOffset>
            </wp:positionV>
            <wp:extent cx="4935855" cy="2979420"/>
            <wp:effectExtent l="4445" t="4445" r="12700" b="6985"/>
            <wp:wrapNone/>
            <wp:docPr id="14" name="图表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7"/>
              </a:graphicData>
            </a:graphic>
          </wp:anchor>
        </w:drawing>
      </w:r>
    </w:p>
    <w:p>
      <w:pPr>
        <w:widowControl/>
        <w:spacing w:line="440" w:lineRule="exact"/>
        <w:jc w:val="center"/>
        <w:rPr>
          <w:rFonts w:hint="eastAsia" w:ascii="Times New Roman" w:hAnsi="Times New Roman" w:eastAsia="楷体_GB2312" w:cs="Times New Roman"/>
          <w:bCs/>
          <w:color w:val="000000"/>
          <w:szCs w:val="21"/>
        </w:rPr>
      </w:pPr>
    </w:p>
    <w:p>
      <w:pPr>
        <w:widowControl/>
        <w:spacing w:line="440" w:lineRule="exact"/>
        <w:jc w:val="center"/>
        <w:rPr>
          <w:rFonts w:hint="eastAsia" w:ascii="Times New Roman" w:hAnsi="Times New Roman" w:eastAsia="楷体_GB2312" w:cs="Times New Roman"/>
          <w:bCs/>
          <w:color w:val="000000"/>
          <w:szCs w:val="21"/>
        </w:rPr>
      </w:pPr>
    </w:p>
    <w:p>
      <w:pPr>
        <w:widowControl/>
        <w:spacing w:line="440" w:lineRule="exact"/>
        <w:jc w:val="center"/>
        <w:rPr>
          <w:rFonts w:hint="eastAsia" w:ascii="Times New Roman" w:hAnsi="Times New Roman" w:eastAsia="楷体_GB2312" w:cs="Times New Roman"/>
          <w:bCs/>
          <w:color w:val="000000"/>
          <w:szCs w:val="21"/>
        </w:rPr>
      </w:pPr>
    </w:p>
    <w:p>
      <w:pPr>
        <w:widowControl/>
        <w:spacing w:line="440" w:lineRule="exact"/>
        <w:jc w:val="center"/>
        <w:rPr>
          <w:rFonts w:hint="eastAsia" w:ascii="Times New Roman" w:hAnsi="Times New Roman" w:eastAsia="楷体_GB2312" w:cs="Times New Roman"/>
          <w:bCs/>
          <w:color w:val="000000"/>
          <w:szCs w:val="21"/>
        </w:rPr>
      </w:pPr>
    </w:p>
    <w:p>
      <w:pPr>
        <w:widowControl/>
        <w:spacing w:line="440" w:lineRule="exact"/>
        <w:jc w:val="center"/>
        <w:rPr>
          <w:rFonts w:hint="eastAsia" w:ascii="Times New Roman" w:hAnsi="Times New Roman" w:eastAsia="楷体_GB2312" w:cs="Times New Roman"/>
          <w:bCs/>
          <w:color w:val="000000"/>
          <w:szCs w:val="21"/>
        </w:rPr>
      </w:pPr>
    </w:p>
    <w:p>
      <w:pPr>
        <w:widowControl/>
        <w:spacing w:line="440" w:lineRule="exact"/>
        <w:jc w:val="center"/>
        <w:rPr>
          <w:rFonts w:hint="eastAsia" w:ascii="Times New Roman" w:hAnsi="Times New Roman" w:eastAsia="楷体_GB2312" w:cs="Times New Roman"/>
          <w:bCs/>
          <w:color w:val="000000"/>
          <w:szCs w:val="21"/>
        </w:rPr>
      </w:pPr>
    </w:p>
    <w:p>
      <w:pPr>
        <w:widowControl/>
        <w:spacing w:line="440" w:lineRule="exact"/>
        <w:jc w:val="center"/>
        <w:rPr>
          <w:rFonts w:hint="eastAsia" w:ascii="Times New Roman" w:hAnsi="Times New Roman" w:eastAsia="楷体_GB2312" w:cs="Times New Roman"/>
          <w:bCs/>
          <w:color w:val="000000"/>
          <w:szCs w:val="21"/>
        </w:rPr>
      </w:pPr>
    </w:p>
    <w:p>
      <w:pPr>
        <w:spacing w:line="440" w:lineRule="exact"/>
        <w:jc w:val="left"/>
        <w:rPr>
          <w:rFonts w:ascii="Times New Roman" w:hAnsi="Times New Roman" w:eastAsia="宋体" w:cs="Times New Roman"/>
          <w:sz w:val="24"/>
        </w:rPr>
      </w:pPr>
    </w:p>
    <w:p>
      <w:pPr>
        <w:spacing w:line="440" w:lineRule="exact"/>
        <w:ind w:firstLine="480" w:firstLineChars="200"/>
        <w:jc w:val="left"/>
        <w:rPr>
          <w:rFonts w:ascii="Times New Roman" w:hAnsi="Times New Roman" w:eastAsia="宋体" w:cs="Times New Roman"/>
          <w:sz w:val="24"/>
        </w:rPr>
      </w:pPr>
    </w:p>
    <w:p>
      <w:pPr>
        <w:spacing w:line="440" w:lineRule="exact"/>
        <w:ind w:firstLine="480" w:firstLineChars="200"/>
        <w:jc w:val="left"/>
        <w:rPr>
          <w:rFonts w:ascii="Times New Roman" w:hAnsi="Times New Roman" w:eastAsia="宋体" w:cs="Times New Roman"/>
          <w:sz w:val="24"/>
        </w:rPr>
      </w:pPr>
    </w:p>
    <w:p>
      <w:pPr>
        <w:spacing w:line="440" w:lineRule="exact"/>
        <w:jc w:val="center"/>
        <w:rPr>
          <w:rFonts w:hint="eastAsia" w:ascii="Times New Roman" w:hAnsi="Times New Roman" w:eastAsia="楷体_GB2312" w:cs="Times New Roman"/>
          <w:bCs/>
          <w:color w:val="000000"/>
          <w:szCs w:val="21"/>
        </w:rPr>
      </w:pPr>
      <w:r>
        <w:rPr>
          <w:rFonts w:hint="eastAsia" w:ascii="Times New Roman" w:hAnsi="Times New Roman" w:eastAsia="楷体_GB2312" w:cs="Times New Roman"/>
          <w:bCs/>
          <w:color w:val="000000"/>
          <w:szCs w:val="21"/>
          <w:lang w:val="en-US" w:eastAsia="zh-CN"/>
        </w:rPr>
        <w:t>图10</w:t>
      </w:r>
      <w:r>
        <w:rPr>
          <w:rFonts w:hint="eastAsia" w:ascii="Times New Roman" w:hAnsi="Times New Roman" w:eastAsia="楷体_GB2312" w:cs="Times New Roman"/>
          <w:bCs/>
          <w:color w:val="000000"/>
          <w:szCs w:val="21"/>
        </w:rPr>
        <w:t xml:space="preserve"> 竹产业从业人数</w:t>
      </w:r>
    </w:p>
    <w:p>
      <w:pPr>
        <w:spacing w:line="440" w:lineRule="exact"/>
        <w:jc w:val="center"/>
        <w:rPr>
          <w:rFonts w:hint="eastAsia" w:ascii="Times New Roman" w:hAnsi="Times New Roman" w:eastAsia="楷体_GB2312" w:cs="Times New Roman"/>
          <w:bCs/>
          <w:color w:val="000000"/>
          <w:szCs w:val="21"/>
        </w:rPr>
      </w:pPr>
    </w:p>
    <w:p>
      <w:pPr>
        <w:spacing w:line="440" w:lineRule="exact"/>
        <w:ind w:firstLine="480" w:firstLineChars="200"/>
        <w:jc w:val="left"/>
        <w:rPr>
          <w:rFonts w:hint="eastAsia" w:ascii="Times New Roman" w:hAnsi="Times New Roman" w:eastAsia="宋体" w:cs="Times New Roman"/>
          <w:sz w:val="24"/>
        </w:rPr>
      </w:pPr>
      <w:r>
        <w:rPr>
          <w:rFonts w:ascii="Times New Roman" w:hAnsi="Times New Roman" w:eastAsia="宋体" w:cs="Times New Roman"/>
          <w:sz w:val="24"/>
        </w:rPr>
        <w:t>数以万计的产业人才，支撑竹产业飞速发展。2011年，青神竹产业产值</w:t>
      </w:r>
      <w:r>
        <w:rPr>
          <w:rFonts w:hint="eastAsia" w:ascii="Times New Roman" w:hAnsi="Times New Roman" w:eastAsia="宋体" w:cs="Times New Roman"/>
          <w:sz w:val="24"/>
        </w:rPr>
        <w:t>3</w:t>
      </w:r>
      <w:r>
        <w:rPr>
          <w:rFonts w:ascii="Times New Roman" w:hAnsi="Times New Roman" w:eastAsia="宋体" w:cs="Times New Roman"/>
          <w:sz w:val="24"/>
        </w:rPr>
        <w:t>亿元</w:t>
      </w:r>
      <w:r>
        <w:rPr>
          <w:rFonts w:hint="eastAsia" w:ascii="Times New Roman" w:hAnsi="Times New Roman" w:eastAsia="宋体" w:cs="Times New Roman"/>
          <w:sz w:val="24"/>
        </w:rPr>
        <w:t>；</w:t>
      </w:r>
      <w:r>
        <w:rPr>
          <w:rFonts w:ascii="Times New Roman" w:hAnsi="Times New Roman" w:eastAsia="宋体" w:cs="Times New Roman"/>
          <w:sz w:val="24"/>
        </w:rPr>
        <w:t>2014年，</w:t>
      </w:r>
      <w:r>
        <w:rPr>
          <w:rFonts w:hint="eastAsia" w:ascii="Times New Roman" w:hAnsi="Times New Roman" w:eastAsia="宋体" w:cs="Times New Roman"/>
          <w:sz w:val="24"/>
        </w:rPr>
        <w:t>18</w:t>
      </w:r>
      <w:r>
        <w:rPr>
          <w:rFonts w:ascii="Times New Roman" w:hAnsi="Times New Roman" w:eastAsia="宋体" w:cs="Times New Roman"/>
          <w:sz w:val="24"/>
        </w:rPr>
        <w:t>亿元</w:t>
      </w:r>
      <w:r>
        <w:rPr>
          <w:rFonts w:hint="eastAsia" w:ascii="Times New Roman" w:hAnsi="Times New Roman" w:eastAsia="宋体" w:cs="Times New Roman"/>
          <w:sz w:val="24"/>
        </w:rPr>
        <w:t>；</w:t>
      </w:r>
      <w:r>
        <w:rPr>
          <w:rFonts w:ascii="Times New Roman" w:hAnsi="Times New Roman" w:eastAsia="宋体" w:cs="Times New Roman"/>
          <w:sz w:val="24"/>
        </w:rPr>
        <w:t>2020年，达到50亿元</w:t>
      </w:r>
      <w:r>
        <w:rPr>
          <w:rFonts w:hint="eastAsia" w:ascii="Times New Roman" w:hAnsi="Times New Roman" w:eastAsia="宋体" w:cs="Times New Roman"/>
          <w:sz w:val="24"/>
        </w:rPr>
        <w:t>，</w:t>
      </w:r>
      <w:r>
        <w:rPr>
          <w:rFonts w:ascii="Times New Roman" w:hAnsi="Times New Roman" w:eastAsia="宋体" w:cs="Times New Roman"/>
          <w:sz w:val="24"/>
        </w:rPr>
        <w:t>在巩固脱贫攻坚、助力乡村振兴中发挥了巨大作用</w:t>
      </w:r>
      <w:r>
        <w:rPr>
          <w:rFonts w:hint="eastAsia" w:ascii="Times New Roman" w:hAnsi="Times New Roman" w:eastAsia="宋体" w:cs="Times New Roman"/>
          <w:sz w:val="24"/>
        </w:rPr>
        <w:t>。</w:t>
      </w:r>
    </w:p>
    <w:p>
      <w:pPr>
        <w:spacing w:line="440" w:lineRule="exact"/>
        <w:ind w:firstLine="480" w:firstLineChars="200"/>
        <w:jc w:val="left"/>
        <w:rPr>
          <w:rFonts w:hint="eastAsia" w:ascii="Times New Roman" w:hAnsi="Times New Roman" w:eastAsia="宋体" w:cs="Times New Roman"/>
          <w:sz w:val="24"/>
        </w:rPr>
      </w:pPr>
    </w:p>
    <w:p>
      <w:pPr>
        <w:spacing w:line="440" w:lineRule="exact"/>
        <w:ind w:firstLine="480" w:firstLineChars="200"/>
        <w:jc w:val="left"/>
        <w:rPr>
          <w:rFonts w:hint="eastAsia" w:ascii="Times New Roman" w:hAnsi="Times New Roman" w:eastAsia="宋体" w:cs="Times New Roman"/>
          <w:sz w:val="24"/>
        </w:rPr>
      </w:pPr>
    </w:p>
    <w:p>
      <w:pPr>
        <w:jc w:val="center"/>
      </w:pPr>
      <w:r>
        <w:drawing>
          <wp:inline distT="0" distB="0" distL="114300" distR="114300">
            <wp:extent cx="3754755" cy="2069465"/>
            <wp:effectExtent l="4445" t="4445" r="5080" b="13970"/>
            <wp:docPr id="15" name="图表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8"/>
              </a:graphicData>
            </a:graphic>
          </wp:inline>
        </w:drawing>
      </w:r>
    </w:p>
    <w:p>
      <w:pPr>
        <w:spacing w:line="440" w:lineRule="exact"/>
        <w:jc w:val="center"/>
        <w:rPr>
          <w:rFonts w:hint="eastAsia" w:ascii="Times New Roman" w:hAnsi="Times New Roman" w:eastAsia="楷体_GB2312" w:cs="Times New Roman"/>
          <w:bCs/>
          <w:color w:val="000000"/>
          <w:szCs w:val="21"/>
        </w:rPr>
      </w:pPr>
      <w:r>
        <w:rPr>
          <w:rFonts w:hint="eastAsia" w:ascii="Times New Roman" w:hAnsi="Times New Roman" w:eastAsia="楷体_GB2312" w:cs="Times New Roman"/>
          <w:bCs/>
          <w:color w:val="000000"/>
          <w:szCs w:val="21"/>
          <w:lang w:val="en-US" w:eastAsia="zh-CN"/>
        </w:rPr>
        <w:t>图11</w:t>
      </w:r>
      <w:r>
        <w:rPr>
          <w:rFonts w:hint="eastAsia" w:ascii="Times New Roman" w:hAnsi="Times New Roman" w:eastAsia="楷体_GB2312" w:cs="Times New Roman"/>
          <w:bCs/>
          <w:color w:val="000000"/>
          <w:szCs w:val="21"/>
        </w:rPr>
        <w:t xml:space="preserve"> 竹产业产值</w:t>
      </w:r>
    </w:p>
    <w:p>
      <w:pPr>
        <w:spacing w:line="440" w:lineRule="exact"/>
        <w:jc w:val="center"/>
        <w:rPr>
          <w:rFonts w:hint="eastAsia" w:ascii="Times New Roman" w:hAnsi="Times New Roman" w:eastAsia="楷体_GB2312" w:cs="Times New Roman"/>
          <w:bCs/>
          <w:color w:val="000000"/>
          <w:szCs w:val="21"/>
        </w:rPr>
      </w:pPr>
    </w:p>
    <w:p>
      <w:pPr>
        <w:spacing w:line="440" w:lineRule="exact"/>
        <w:jc w:val="center"/>
        <w:rPr>
          <w:rFonts w:hint="eastAsia" w:ascii="Times New Roman" w:hAnsi="Times New Roman" w:eastAsia="楷体_GB2312" w:cs="Times New Roman"/>
          <w:bCs/>
          <w:color w:val="000000"/>
          <w:szCs w:val="21"/>
        </w:rPr>
      </w:pPr>
    </w:p>
    <w:p>
      <w:pPr>
        <w:keepNext/>
        <w:keepLines/>
        <w:spacing w:line="440" w:lineRule="exact"/>
        <w:ind w:firstLine="482" w:firstLineChars="200"/>
        <w:outlineLvl w:val="2"/>
        <w:rPr>
          <w:rFonts w:ascii="宋体" w:hAnsi="宋体" w:eastAsia="宋体"/>
          <w:b/>
          <w:bCs/>
          <w:sz w:val="24"/>
          <w:szCs w:val="24"/>
        </w:rPr>
      </w:pPr>
      <w:r>
        <w:rPr>
          <w:rFonts w:ascii="宋体" w:hAnsi="宋体" w:eastAsia="宋体"/>
          <w:b/>
          <w:bCs/>
          <w:sz w:val="24"/>
          <w:szCs w:val="24"/>
        </w:rPr>
        <w:t>3.教师专业能力、科研能力、教育教学能力显著提升，取得了丰硕成果。</w:t>
      </w:r>
    </w:p>
    <w:p>
      <w:pPr>
        <w:spacing w:line="440" w:lineRule="exact"/>
        <w:ind w:firstLine="480" w:firstLineChars="200"/>
        <w:rPr>
          <w:rFonts w:ascii="Times New Roman" w:hAnsi="Times New Roman" w:eastAsia="宋体" w:cs="Times New Roman"/>
          <w:sz w:val="24"/>
          <w:szCs w:val="24"/>
        </w:rPr>
      </w:pPr>
      <w:r>
        <w:rPr>
          <w:rFonts w:hint="eastAsia" w:ascii="Times New Roman" w:hAnsi="Times New Roman" w:eastAsia="宋体" w:cs="Times New Roman"/>
          <w:sz w:val="24"/>
          <w:szCs w:val="24"/>
          <w:lang w:eastAsia="zh-CN"/>
        </w:rPr>
        <w:t>参加“称号”评定，</w:t>
      </w:r>
      <w:r>
        <w:rPr>
          <w:rFonts w:hint="eastAsia" w:ascii="Times New Roman" w:hAnsi="Times New Roman" w:eastAsia="宋体" w:cs="Times New Roman"/>
          <w:sz w:val="24"/>
          <w:szCs w:val="24"/>
        </w:rPr>
        <w:t>2</w:t>
      </w:r>
      <w:r>
        <w:rPr>
          <w:rFonts w:ascii="Times New Roman" w:hAnsi="Times New Roman" w:eastAsia="宋体" w:cs="Times New Roman"/>
          <w:sz w:val="24"/>
          <w:szCs w:val="24"/>
        </w:rPr>
        <w:t>名获“</w:t>
      </w:r>
      <w:r>
        <w:rPr>
          <w:rFonts w:hint="eastAsia" w:ascii="Times New Roman" w:hAnsi="Times New Roman" w:eastAsia="宋体" w:cs="Times New Roman"/>
          <w:sz w:val="24"/>
          <w:szCs w:val="24"/>
        </w:rPr>
        <w:t>省</w:t>
      </w:r>
      <w:r>
        <w:rPr>
          <w:rFonts w:ascii="Times New Roman" w:hAnsi="Times New Roman" w:eastAsia="宋体" w:cs="Times New Roman"/>
          <w:sz w:val="24"/>
          <w:szCs w:val="24"/>
        </w:rPr>
        <w:t>级工艺美术师”称号，</w:t>
      </w:r>
      <w:r>
        <w:rPr>
          <w:rFonts w:hint="eastAsia" w:ascii="Times New Roman" w:hAnsi="Times New Roman" w:eastAsia="宋体" w:cs="Times New Roman"/>
          <w:sz w:val="24"/>
          <w:szCs w:val="24"/>
          <w:lang w:eastAsia="zh-CN"/>
        </w:rPr>
        <w:t>参加“传承人”评选，</w:t>
      </w:r>
      <w:r>
        <w:rPr>
          <w:rFonts w:hint="eastAsia" w:ascii="Times New Roman" w:hAnsi="Times New Roman" w:eastAsia="宋体" w:cs="Times New Roman"/>
          <w:sz w:val="24"/>
          <w:szCs w:val="24"/>
        </w:rPr>
        <w:t>3</w:t>
      </w:r>
      <w:r>
        <w:rPr>
          <w:rFonts w:ascii="Times New Roman" w:hAnsi="Times New Roman" w:eastAsia="宋体" w:cs="Times New Roman"/>
          <w:sz w:val="24"/>
          <w:szCs w:val="24"/>
        </w:rPr>
        <w:t>名被认定为“青神竹编非遗传承人”</w:t>
      </w:r>
      <w:r>
        <w:rPr>
          <w:rFonts w:hint="eastAsia" w:ascii="Times New Roman" w:hAnsi="Times New Roman" w:eastAsia="宋体" w:cs="Times New Roman"/>
          <w:sz w:val="24"/>
          <w:szCs w:val="24"/>
        </w:rPr>
        <w:t>；参加竞赛，</w:t>
      </w:r>
      <w:r>
        <w:rPr>
          <w:rFonts w:ascii="Times New Roman" w:hAnsi="Times New Roman" w:eastAsia="宋体" w:cs="Times New Roman"/>
          <w:sz w:val="24"/>
          <w:szCs w:val="24"/>
        </w:rPr>
        <w:t>获省</w:t>
      </w:r>
      <w:r>
        <w:rPr>
          <w:rFonts w:hint="eastAsia" w:ascii="Times New Roman" w:hAnsi="Times New Roman" w:eastAsia="宋体" w:cs="Times New Roman"/>
          <w:sz w:val="24"/>
          <w:szCs w:val="24"/>
        </w:rPr>
        <w:t>级</w:t>
      </w:r>
      <w:r>
        <w:rPr>
          <w:rFonts w:ascii="Times New Roman" w:hAnsi="Times New Roman" w:eastAsia="宋体" w:cs="Times New Roman"/>
          <w:sz w:val="24"/>
          <w:szCs w:val="24"/>
        </w:rPr>
        <w:t>成果一等奖1人，</w:t>
      </w:r>
      <w:r>
        <w:rPr>
          <w:rFonts w:hint="eastAsia" w:ascii="Times New Roman" w:hAnsi="Times New Roman" w:eastAsia="宋体" w:cs="Times New Roman"/>
          <w:sz w:val="24"/>
          <w:szCs w:val="24"/>
        </w:rPr>
        <w:t>三</w:t>
      </w:r>
      <w:r>
        <w:rPr>
          <w:rFonts w:ascii="Times New Roman" w:hAnsi="Times New Roman" w:eastAsia="宋体" w:cs="Times New Roman"/>
          <w:sz w:val="24"/>
          <w:szCs w:val="24"/>
        </w:rPr>
        <w:t>等奖</w:t>
      </w:r>
      <w:r>
        <w:rPr>
          <w:rFonts w:hint="eastAsia" w:ascii="Times New Roman" w:hAnsi="Times New Roman" w:eastAsia="宋体" w:cs="Times New Roman"/>
          <w:sz w:val="24"/>
          <w:szCs w:val="24"/>
        </w:rPr>
        <w:t>1</w:t>
      </w:r>
      <w:r>
        <w:rPr>
          <w:rFonts w:ascii="Times New Roman" w:hAnsi="Times New Roman" w:eastAsia="宋体" w:cs="Times New Roman"/>
          <w:sz w:val="24"/>
          <w:szCs w:val="24"/>
        </w:rPr>
        <w:t>人</w:t>
      </w:r>
      <w:r>
        <w:rPr>
          <w:rFonts w:hint="eastAsia" w:ascii="Times New Roman" w:hAnsi="Times New Roman" w:eastAsia="宋体" w:cs="Times New Roman"/>
          <w:sz w:val="24"/>
          <w:szCs w:val="24"/>
        </w:rPr>
        <w:t>；参加教育教学能力比赛，</w:t>
      </w:r>
      <w:r>
        <w:rPr>
          <w:rFonts w:ascii="Times New Roman" w:hAnsi="Times New Roman" w:eastAsia="宋体" w:cs="Times New Roman"/>
          <w:sz w:val="24"/>
          <w:szCs w:val="24"/>
        </w:rPr>
        <w:t>获二等奖</w:t>
      </w:r>
      <w:r>
        <w:rPr>
          <w:rFonts w:hint="eastAsia" w:ascii="Times New Roman" w:hAnsi="Times New Roman" w:eastAsia="宋体" w:cs="Times New Roman"/>
          <w:sz w:val="24"/>
          <w:szCs w:val="24"/>
        </w:rPr>
        <w:t>4</w:t>
      </w:r>
      <w:r>
        <w:rPr>
          <w:rFonts w:ascii="Times New Roman" w:hAnsi="Times New Roman" w:eastAsia="宋体" w:cs="Times New Roman"/>
          <w:sz w:val="24"/>
          <w:szCs w:val="24"/>
        </w:rPr>
        <w:t>人</w:t>
      </w:r>
      <w:r>
        <w:rPr>
          <w:rFonts w:hint="eastAsia" w:ascii="Times New Roman" w:hAnsi="Times New Roman" w:eastAsia="宋体" w:cs="Times New Roman"/>
          <w:sz w:val="24"/>
          <w:szCs w:val="24"/>
        </w:rPr>
        <w:t>、三等奖18人。1</w:t>
      </w:r>
      <w:r>
        <w:rPr>
          <w:rFonts w:ascii="Times New Roman" w:hAnsi="Times New Roman" w:eastAsia="宋体" w:cs="Times New Roman"/>
          <w:sz w:val="24"/>
          <w:szCs w:val="24"/>
        </w:rPr>
        <w:t>人被评为四川省优秀教师，</w:t>
      </w:r>
      <w:r>
        <w:rPr>
          <w:rFonts w:hint="eastAsia" w:ascii="Times New Roman" w:hAnsi="Times New Roman" w:eastAsia="宋体" w:cs="Times New Roman"/>
          <w:sz w:val="24"/>
          <w:szCs w:val="24"/>
        </w:rPr>
        <w:t>3</w:t>
      </w:r>
      <w:r>
        <w:rPr>
          <w:rFonts w:ascii="Times New Roman" w:hAnsi="Times New Roman" w:eastAsia="宋体" w:cs="Times New Roman"/>
          <w:sz w:val="24"/>
          <w:szCs w:val="24"/>
        </w:rPr>
        <w:t>人</w:t>
      </w:r>
      <w:r>
        <w:rPr>
          <w:rFonts w:hint="eastAsia" w:ascii="Times New Roman" w:hAnsi="Times New Roman" w:eastAsia="宋体" w:cs="Times New Roman"/>
          <w:sz w:val="24"/>
          <w:szCs w:val="24"/>
        </w:rPr>
        <w:t>评为</w:t>
      </w:r>
      <w:r>
        <w:rPr>
          <w:rFonts w:ascii="Times New Roman" w:hAnsi="Times New Roman" w:eastAsia="宋体" w:cs="Times New Roman"/>
          <w:sz w:val="24"/>
          <w:szCs w:val="24"/>
        </w:rPr>
        <w:t>眉山市优秀教师</w:t>
      </w:r>
      <w:r>
        <w:rPr>
          <w:rFonts w:hint="eastAsia" w:ascii="Times New Roman" w:hAnsi="Times New Roman" w:eastAsia="宋体" w:cs="Times New Roman"/>
          <w:sz w:val="24"/>
          <w:szCs w:val="24"/>
        </w:rPr>
        <w:t>，</w:t>
      </w:r>
      <w:r>
        <w:rPr>
          <w:rFonts w:ascii="Times New Roman" w:hAnsi="Times New Roman" w:eastAsia="宋体" w:cs="Times New Roman"/>
          <w:sz w:val="24"/>
          <w:szCs w:val="24"/>
        </w:rPr>
        <w:t>2人担任省名师工作室眉山站负责人</w:t>
      </w:r>
      <w:r>
        <w:rPr>
          <w:rFonts w:hint="eastAsia" w:ascii="Times New Roman" w:hAnsi="Times New Roman" w:eastAsia="宋体" w:cs="Times New Roman"/>
          <w:sz w:val="24"/>
          <w:szCs w:val="24"/>
        </w:rPr>
        <w:t>。</w:t>
      </w:r>
    </w:p>
    <w:p>
      <w:pPr>
        <w:spacing w:line="440" w:lineRule="exact"/>
        <w:ind w:firstLine="480" w:firstLineChars="200"/>
        <w:rPr>
          <w:rFonts w:hint="eastAsia" w:ascii="Times New Roman" w:hAnsi="Times New Roman" w:eastAsia="宋体" w:cs="Times New Roman"/>
          <w:kern w:val="0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>近2年发表（获奖）论文32篇</w:t>
      </w:r>
      <w:r>
        <w:rPr>
          <w:rFonts w:hint="eastAsia" w:ascii="Times New Roman" w:hAnsi="Times New Roman" w:eastAsia="宋体" w:cs="Times New Roman"/>
          <w:sz w:val="24"/>
          <w:szCs w:val="24"/>
        </w:rPr>
        <w:t>，</w:t>
      </w:r>
      <w:r>
        <w:rPr>
          <w:rFonts w:ascii="Times New Roman" w:hAnsi="Times New Roman" w:eastAsia="宋体" w:cs="Times New Roman"/>
          <w:sz w:val="24"/>
          <w:szCs w:val="24"/>
        </w:rPr>
        <w:t>各类获奖100余项次</w:t>
      </w:r>
      <w:r>
        <w:rPr>
          <w:rFonts w:hint="eastAsia" w:ascii="Times New Roman" w:hAnsi="Times New Roman" w:eastAsia="宋体" w:cs="Times New Roman"/>
          <w:sz w:val="24"/>
          <w:szCs w:val="24"/>
        </w:rPr>
        <w:t>（</w:t>
      </w:r>
      <w:r>
        <w:rPr>
          <w:rFonts w:ascii="Times New Roman" w:hAnsi="Times New Roman" w:eastAsia="宋体" w:cs="Times New Roman"/>
          <w:sz w:val="24"/>
          <w:szCs w:val="24"/>
        </w:rPr>
        <w:t>国家级奖</w:t>
      </w:r>
      <w:r>
        <w:rPr>
          <w:rFonts w:hint="eastAsia" w:ascii="Times New Roman" w:hAnsi="Times New Roman" w:eastAsia="宋体" w:cs="Times New Roman"/>
          <w:sz w:val="24"/>
          <w:szCs w:val="24"/>
        </w:rPr>
        <w:t>3</w:t>
      </w:r>
      <w:r>
        <w:rPr>
          <w:rFonts w:ascii="Times New Roman" w:hAnsi="Times New Roman" w:eastAsia="宋体" w:cs="Times New Roman"/>
          <w:sz w:val="24"/>
          <w:szCs w:val="24"/>
        </w:rPr>
        <w:t>项次，省级奖</w:t>
      </w:r>
      <w:r>
        <w:rPr>
          <w:rFonts w:hint="eastAsia" w:ascii="Times New Roman" w:hAnsi="Times New Roman" w:eastAsia="宋体" w:cs="Times New Roman"/>
          <w:sz w:val="24"/>
          <w:szCs w:val="24"/>
        </w:rPr>
        <w:t>9</w:t>
      </w:r>
      <w:r>
        <w:rPr>
          <w:rFonts w:ascii="Times New Roman" w:hAnsi="Times New Roman" w:eastAsia="宋体" w:cs="Times New Roman"/>
          <w:sz w:val="24"/>
          <w:szCs w:val="24"/>
        </w:rPr>
        <w:t>项次</w:t>
      </w:r>
      <w:r>
        <w:rPr>
          <w:rFonts w:hint="eastAsia" w:ascii="Times New Roman" w:hAnsi="Times New Roman" w:eastAsia="宋体" w:cs="Times New Roman"/>
          <w:sz w:val="24"/>
          <w:szCs w:val="24"/>
        </w:rPr>
        <w:t>）</w:t>
      </w:r>
      <w:r>
        <w:rPr>
          <w:rFonts w:ascii="Times New Roman" w:hAnsi="Times New Roman" w:eastAsia="宋体" w:cs="Times New Roman"/>
          <w:sz w:val="24"/>
          <w:szCs w:val="24"/>
        </w:rPr>
        <w:t>。</w:t>
      </w:r>
      <w:r>
        <w:rPr>
          <w:rFonts w:hint="eastAsia" w:ascii="Times New Roman" w:hAnsi="Times New Roman" w:eastAsia="宋体" w:cs="Times New Roman"/>
          <w:sz w:val="24"/>
          <w:szCs w:val="24"/>
        </w:rPr>
        <w:t>20余人</w:t>
      </w:r>
      <w:r>
        <w:rPr>
          <w:rFonts w:ascii="Times New Roman" w:hAnsi="Times New Roman" w:eastAsia="宋体" w:cs="Times New Roman"/>
          <w:sz w:val="24"/>
          <w:szCs w:val="24"/>
        </w:rPr>
        <w:t>参与</w:t>
      </w:r>
      <w:r>
        <w:rPr>
          <w:rFonts w:hint="eastAsia" w:ascii="Times New Roman" w:hAnsi="Times New Roman" w:eastAsia="宋体" w:cs="Times New Roman"/>
          <w:sz w:val="24"/>
          <w:szCs w:val="24"/>
        </w:rPr>
        <w:t>11门</w:t>
      </w:r>
      <w:r>
        <w:rPr>
          <w:rFonts w:ascii="Times New Roman" w:hAnsi="Times New Roman" w:eastAsia="宋体" w:cs="Times New Roman"/>
          <w:sz w:val="24"/>
          <w:szCs w:val="24"/>
        </w:rPr>
        <w:t>教材编写</w:t>
      </w:r>
      <w:r>
        <w:rPr>
          <w:rFonts w:hint="eastAsia" w:ascii="Times New Roman" w:hAnsi="Times New Roman" w:eastAsia="宋体" w:cs="Times New Roman"/>
          <w:sz w:val="24"/>
          <w:szCs w:val="24"/>
        </w:rPr>
        <w:t>、</w:t>
      </w:r>
      <w:r>
        <w:rPr>
          <w:rFonts w:ascii="Times New Roman" w:hAnsi="Times New Roman" w:eastAsia="宋体" w:cs="Times New Roman"/>
          <w:kern w:val="0"/>
          <w:sz w:val="24"/>
          <w:szCs w:val="24"/>
        </w:rPr>
        <w:t>成功立项省级重点课题1项</w:t>
      </w:r>
      <w:r>
        <w:rPr>
          <w:rFonts w:hint="eastAsia" w:ascii="Times New Roman" w:hAnsi="Times New Roman" w:eastAsia="宋体" w:cs="Times New Roman"/>
          <w:kern w:val="0"/>
          <w:sz w:val="24"/>
          <w:szCs w:val="24"/>
        </w:rPr>
        <w:t>。</w:t>
      </w:r>
    </w:p>
    <w:p>
      <w:pPr>
        <w:spacing w:line="440" w:lineRule="exact"/>
        <w:ind w:firstLine="480" w:firstLineChars="200"/>
        <w:rPr>
          <w:rFonts w:hint="eastAsia" w:ascii="Times New Roman" w:hAnsi="Times New Roman" w:eastAsia="宋体" w:cs="Times New Roman"/>
          <w:kern w:val="0"/>
          <w:sz w:val="24"/>
          <w:szCs w:val="24"/>
        </w:rPr>
      </w:pPr>
    </w:p>
    <w:p>
      <w:pPr>
        <w:spacing w:line="440" w:lineRule="exact"/>
        <w:rPr>
          <w:rFonts w:hint="eastAsia" w:ascii="Times New Roman" w:hAnsi="Times New Roman" w:eastAsia="宋体" w:cs="Times New Roman"/>
          <w:kern w:val="0"/>
          <w:sz w:val="24"/>
          <w:szCs w:val="24"/>
        </w:rPr>
      </w:pPr>
      <w:r>
        <w:drawing>
          <wp:anchor distT="0" distB="0" distL="114935" distR="114935" simplePos="0" relativeHeight="251669504" behindDoc="0" locked="0" layoutInCell="1" allowOverlap="0">
            <wp:simplePos x="0" y="0"/>
            <wp:positionH relativeFrom="column">
              <wp:posOffset>36830</wp:posOffset>
            </wp:positionH>
            <wp:positionV relativeFrom="paragraph">
              <wp:posOffset>190500</wp:posOffset>
            </wp:positionV>
            <wp:extent cx="5256530" cy="4049395"/>
            <wp:effectExtent l="0" t="0" r="1270" b="4445"/>
            <wp:wrapTopAndBottom/>
            <wp:docPr id="18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0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56530" cy="4049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935" distR="114935" simplePos="0" relativeHeight="251664384" behindDoc="0" locked="0" layoutInCell="1" allowOverlap="1">
            <wp:simplePos x="0" y="0"/>
            <wp:positionH relativeFrom="column">
              <wp:posOffset>835025</wp:posOffset>
            </wp:positionH>
            <wp:positionV relativeFrom="paragraph">
              <wp:posOffset>-8452485</wp:posOffset>
            </wp:positionV>
            <wp:extent cx="5059045" cy="2764790"/>
            <wp:effectExtent l="0" t="0" r="635" b="8890"/>
            <wp:wrapNone/>
            <wp:docPr id="31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8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059045" cy="2764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440" w:lineRule="exact"/>
        <w:jc w:val="center"/>
        <w:rPr>
          <w:rFonts w:ascii="Times New Roman" w:hAnsi="Times New Roman" w:eastAsia="楷体_GB2312" w:cs="Times New Roman"/>
          <w:bCs/>
          <w:color w:val="000000"/>
          <w:szCs w:val="21"/>
        </w:rPr>
      </w:pPr>
      <w:r>
        <w:rPr>
          <w:rFonts w:hint="eastAsia" w:ascii="Times New Roman" w:hAnsi="Times New Roman" w:eastAsia="楷体_GB2312" w:cs="Times New Roman"/>
          <w:bCs/>
          <w:color w:val="000000"/>
          <w:szCs w:val="21"/>
        </w:rPr>
        <w:t>表</w:t>
      </w:r>
      <w:r>
        <w:rPr>
          <w:rFonts w:hint="eastAsia" w:ascii="Times New Roman" w:hAnsi="Times New Roman" w:eastAsia="楷体_GB2312" w:cs="Times New Roman"/>
          <w:bCs/>
          <w:color w:val="000000"/>
          <w:szCs w:val="21"/>
          <w:lang w:val="en-US" w:eastAsia="zh-CN"/>
        </w:rPr>
        <w:t>2</w:t>
      </w:r>
      <w:r>
        <w:rPr>
          <w:rFonts w:hint="eastAsia" w:ascii="Times New Roman" w:hAnsi="Times New Roman" w:eastAsia="楷体_GB2312" w:cs="Times New Roman"/>
          <w:bCs/>
          <w:color w:val="000000"/>
          <w:szCs w:val="21"/>
        </w:rPr>
        <w:t xml:space="preserve"> 教师论文发表获奖统计</w:t>
      </w:r>
    </w:p>
    <w:p>
      <w:pPr>
        <w:spacing w:line="440" w:lineRule="exact"/>
        <w:rPr>
          <w:rFonts w:hint="eastAsia" w:ascii="Times New Roman" w:hAnsi="Times New Roman" w:eastAsia="宋体" w:cs="Times New Roman"/>
          <w:kern w:val="0"/>
          <w:sz w:val="24"/>
          <w:szCs w:val="24"/>
        </w:rPr>
      </w:pPr>
    </w:p>
    <w:p>
      <w:pPr>
        <w:spacing w:line="440" w:lineRule="exact"/>
        <w:rPr>
          <w:rFonts w:hint="eastAsia" w:ascii="Times New Roman" w:hAnsi="Times New Roman" w:eastAsia="宋体" w:cs="Times New Roman"/>
          <w:kern w:val="0"/>
          <w:sz w:val="24"/>
          <w:szCs w:val="24"/>
        </w:rPr>
      </w:pPr>
    </w:p>
    <w:p>
      <w:pPr>
        <w:spacing w:line="440" w:lineRule="exact"/>
        <w:rPr>
          <w:rFonts w:hint="eastAsia" w:ascii="Times New Roman" w:hAnsi="Times New Roman" w:eastAsia="宋体" w:cs="Times New Roman"/>
          <w:kern w:val="0"/>
          <w:sz w:val="24"/>
          <w:szCs w:val="24"/>
        </w:rPr>
      </w:pPr>
    </w:p>
    <w:p>
      <w:pPr>
        <w:spacing w:line="440" w:lineRule="exact"/>
        <w:rPr>
          <w:rFonts w:hint="eastAsia" w:ascii="Times New Roman" w:hAnsi="Times New Roman" w:eastAsia="宋体" w:cs="Times New Roman"/>
          <w:kern w:val="0"/>
          <w:sz w:val="24"/>
          <w:szCs w:val="24"/>
        </w:rPr>
      </w:pPr>
    </w:p>
    <w:p>
      <w:pPr>
        <w:spacing w:line="440" w:lineRule="exact"/>
        <w:rPr>
          <w:rFonts w:hint="eastAsia" w:ascii="Times New Roman" w:hAnsi="Times New Roman" w:eastAsia="宋体" w:cs="Times New Roman"/>
          <w:kern w:val="0"/>
          <w:sz w:val="24"/>
          <w:szCs w:val="24"/>
        </w:rPr>
      </w:pPr>
    </w:p>
    <w:p>
      <w:pPr>
        <w:spacing w:line="440" w:lineRule="exact"/>
        <w:rPr>
          <w:rFonts w:hint="eastAsia" w:ascii="Times New Roman" w:hAnsi="Times New Roman" w:eastAsia="宋体" w:cs="Times New Roman"/>
          <w:kern w:val="0"/>
          <w:sz w:val="24"/>
          <w:szCs w:val="24"/>
        </w:rPr>
      </w:pPr>
    </w:p>
    <w:p>
      <w:pPr>
        <w:spacing w:line="440" w:lineRule="exact"/>
        <w:rPr>
          <w:rFonts w:hint="eastAsia" w:ascii="Times New Roman" w:hAnsi="Times New Roman" w:eastAsia="宋体" w:cs="Times New Roman"/>
          <w:kern w:val="0"/>
          <w:sz w:val="24"/>
          <w:szCs w:val="24"/>
        </w:rPr>
      </w:pPr>
    </w:p>
    <w:p>
      <w:pPr>
        <w:spacing w:line="440" w:lineRule="exact"/>
        <w:rPr>
          <w:rFonts w:hint="eastAsia" w:ascii="Times New Roman" w:hAnsi="Times New Roman" w:eastAsia="宋体" w:cs="Times New Roman"/>
          <w:kern w:val="0"/>
          <w:sz w:val="24"/>
          <w:szCs w:val="24"/>
        </w:rPr>
      </w:pPr>
    </w:p>
    <w:p>
      <w:pPr>
        <w:spacing w:line="440" w:lineRule="exact"/>
        <w:rPr>
          <w:rFonts w:hint="eastAsia" w:ascii="Times New Roman" w:hAnsi="Times New Roman" w:eastAsia="宋体" w:cs="Times New Roman"/>
          <w:kern w:val="0"/>
          <w:sz w:val="24"/>
          <w:szCs w:val="24"/>
        </w:rPr>
      </w:pPr>
    </w:p>
    <w:p>
      <w:pPr>
        <w:spacing w:line="440" w:lineRule="exact"/>
        <w:rPr>
          <w:rFonts w:hint="eastAsia" w:ascii="Times New Roman" w:hAnsi="Times New Roman" w:eastAsia="宋体" w:cs="Times New Roman"/>
          <w:kern w:val="0"/>
          <w:sz w:val="24"/>
          <w:szCs w:val="24"/>
        </w:rPr>
      </w:pPr>
      <w:r>
        <w:drawing>
          <wp:anchor distT="0" distB="0" distL="114935" distR="114935" simplePos="0" relativeHeight="251672576" behindDoc="0" locked="0" layoutInCell="1" allowOverlap="1">
            <wp:simplePos x="0" y="0"/>
            <wp:positionH relativeFrom="column">
              <wp:posOffset>-33655</wp:posOffset>
            </wp:positionH>
            <wp:positionV relativeFrom="paragraph">
              <wp:posOffset>3846195</wp:posOffset>
            </wp:positionV>
            <wp:extent cx="5281930" cy="3822065"/>
            <wp:effectExtent l="0" t="0" r="13970" b="6985"/>
            <wp:wrapTopAndBottom/>
            <wp:docPr id="2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1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81930" cy="3822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935" distR="114935" simplePos="0" relativeHeight="251671552" behindDoc="0" locked="0" layoutInCell="1" allowOverlap="1">
            <wp:simplePos x="0" y="0"/>
            <wp:positionH relativeFrom="column">
              <wp:posOffset>-31750</wp:posOffset>
            </wp:positionH>
            <wp:positionV relativeFrom="paragraph">
              <wp:posOffset>43180</wp:posOffset>
            </wp:positionV>
            <wp:extent cx="5281930" cy="3822065"/>
            <wp:effectExtent l="0" t="0" r="13970" b="6985"/>
            <wp:wrapTopAndBottom/>
            <wp:docPr id="19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1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81930" cy="3822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360" w:lineRule="auto"/>
        <w:jc w:val="center"/>
        <w:rPr>
          <w:rFonts w:hint="eastAsia" w:ascii="楷体_GB2312" w:hAnsi="楷体_GB2312" w:eastAsia="楷体_GB2312" w:cs="楷体_GB2312"/>
          <w:kern w:val="0"/>
          <w:sz w:val="21"/>
          <w:szCs w:val="21"/>
        </w:rPr>
      </w:pPr>
      <w:r>
        <w:rPr>
          <w:rFonts w:hint="eastAsia" w:ascii="楷体_GB2312" w:hAnsi="楷体_GB2312" w:eastAsia="楷体_GB2312" w:cs="楷体_GB2312"/>
          <w:sz w:val="21"/>
          <w:szCs w:val="21"/>
        </w:rPr>
        <w:t>表</w:t>
      </w:r>
      <w:r>
        <w:rPr>
          <w:rFonts w:hint="eastAsia" w:ascii="楷体_GB2312" w:hAnsi="楷体_GB2312" w:eastAsia="楷体_GB2312" w:cs="楷体_GB2312"/>
          <w:sz w:val="21"/>
          <w:szCs w:val="21"/>
          <w:lang w:val="en-US" w:eastAsia="zh-CN"/>
        </w:rPr>
        <w:t>3</w:t>
      </w:r>
      <w:r>
        <w:rPr>
          <w:rFonts w:hint="eastAsia" w:ascii="楷体_GB2312" w:hAnsi="楷体_GB2312" w:eastAsia="楷体_GB2312" w:cs="楷体_GB2312"/>
          <w:sz w:val="21"/>
          <w:szCs w:val="21"/>
        </w:rPr>
        <w:t xml:space="preserve">  教师获奖情况统计</w:t>
      </w:r>
    </w:p>
    <w:p>
      <w:pPr>
        <w:keepNext/>
        <w:keepLines/>
        <w:spacing w:line="440" w:lineRule="exact"/>
        <w:ind w:firstLine="482" w:firstLineChars="200"/>
        <w:outlineLvl w:val="2"/>
        <w:rPr>
          <w:rFonts w:ascii="宋体" w:hAnsi="宋体" w:eastAsia="宋体"/>
          <w:b/>
          <w:bCs/>
          <w:sz w:val="24"/>
          <w:szCs w:val="24"/>
        </w:rPr>
      </w:pPr>
      <w:r>
        <w:rPr>
          <w:rFonts w:ascii="宋体" w:hAnsi="宋体" w:eastAsia="宋体"/>
          <w:b/>
          <w:bCs/>
          <w:sz w:val="24"/>
          <w:szCs w:val="24"/>
        </w:rPr>
        <w:t>4.领导高度肯定，媒体广泛宣传，社会影响不断扩大。</w:t>
      </w:r>
    </w:p>
    <w:p>
      <w:pPr>
        <w:keepNext/>
        <w:keepLines/>
        <w:spacing w:line="440" w:lineRule="exact"/>
        <w:ind w:firstLine="480" w:firstLineChars="200"/>
        <w:outlineLvl w:val="2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>20</w:t>
      </w:r>
      <w:r>
        <w:rPr>
          <w:rFonts w:hint="eastAsia" w:ascii="Times New Roman" w:hAnsi="Times New Roman" w:eastAsia="宋体" w:cs="Times New Roman"/>
          <w:sz w:val="24"/>
          <w:szCs w:val="24"/>
        </w:rPr>
        <w:t>10</w:t>
      </w:r>
      <w:r>
        <w:rPr>
          <w:rFonts w:ascii="Times New Roman" w:hAnsi="Times New Roman" w:eastAsia="宋体" w:cs="Times New Roman"/>
          <w:sz w:val="24"/>
          <w:szCs w:val="24"/>
        </w:rPr>
        <w:t>年，时任四川省委书记刘奇葆到青神调研，要求创办竹艺学校</w:t>
      </w:r>
      <w:r>
        <w:rPr>
          <w:rFonts w:hint="eastAsia" w:ascii="Times New Roman" w:hAnsi="Times New Roman" w:eastAsia="宋体" w:cs="Times New Roman"/>
          <w:sz w:val="24"/>
          <w:szCs w:val="24"/>
        </w:rPr>
        <w:t>。</w:t>
      </w:r>
      <w:r>
        <w:rPr>
          <w:rFonts w:ascii="Times New Roman" w:hAnsi="Times New Roman" w:eastAsia="宋体" w:cs="Times New Roman"/>
          <w:sz w:val="24"/>
          <w:szCs w:val="24"/>
        </w:rPr>
        <w:t>20</w:t>
      </w:r>
      <w:r>
        <w:rPr>
          <w:rFonts w:hint="eastAsia" w:ascii="Times New Roman" w:hAnsi="Times New Roman" w:eastAsia="宋体" w:cs="Times New Roman"/>
          <w:sz w:val="24"/>
          <w:szCs w:val="24"/>
        </w:rPr>
        <w:t>11</w:t>
      </w:r>
      <w:r>
        <w:rPr>
          <w:rFonts w:ascii="Times New Roman" w:hAnsi="Times New Roman" w:eastAsia="宋体" w:cs="Times New Roman"/>
          <w:sz w:val="24"/>
          <w:szCs w:val="24"/>
        </w:rPr>
        <w:t>年，青神竹编艺术职业学校在我校基础上挂牌成立。</w:t>
      </w:r>
      <w:r>
        <w:rPr>
          <w:rFonts w:hint="eastAsia" w:ascii="Times New Roman" w:hAnsi="Times New Roman" w:eastAsia="宋体" w:cs="Times New Roman"/>
          <w:sz w:val="24"/>
          <w:szCs w:val="24"/>
        </w:rPr>
        <w:t>2013</w:t>
      </w:r>
      <w:r>
        <w:rPr>
          <w:rFonts w:ascii="Times New Roman" w:hAnsi="Times New Roman" w:eastAsia="宋体" w:cs="Times New Roman"/>
          <w:sz w:val="24"/>
          <w:szCs w:val="24"/>
        </w:rPr>
        <w:t>年学校被确定为</w:t>
      </w:r>
      <w:r>
        <w:rPr>
          <w:rFonts w:hint="eastAsia" w:ascii="Times New Roman" w:hAnsi="Times New Roman" w:eastAsia="宋体" w:cs="Times New Roman"/>
          <w:sz w:val="24"/>
          <w:szCs w:val="24"/>
        </w:rPr>
        <w:t>国家级残疾人</w:t>
      </w:r>
      <w:r>
        <w:rPr>
          <w:rFonts w:ascii="Times New Roman" w:hAnsi="Times New Roman" w:eastAsia="宋体" w:cs="Times New Roman"/>
          <w:sz w:val="24"/>
          <w:szCs w:val="24"/>
        </w:rPr>
        <w:t>培训基地</w:t>
      </w:r>
      <w:r>
        <w:rPr>
          <w:rFonts w:hint="eastAsia" w:ascii="Times New Roman" w:hAnsi="Times New Roman" w:eastAsia="宋体" w:cs="Times New Roman"/>
          <w:sz w:val="24"/>
          <w:szCs w:val="24"/>
        </w:rPr>
        <w:t>、2014年被确定为省级劳务品牌培训基地</w:t>
      </w:r>
      <w:r>
        <w:rPr>
          <w:rFonts w:ascii="Times New Roman" w:hAnsi="Times New Roman" w:eastAsia="宋体" w:cs="Times New Roman"/>
          <w:sz w:val="24"/>
          <w:szCs w:val="24"/>
        </w:rPr>
        <w:t>。</w:t>
      </w:r>
    </w:p>
    <w:p>
      <w:pPr>
        <w:keepNext/>
        <w:keepLines/>
        <w:spacing w:line="440" w:lineRule="exact"/>
        <w:jc w:val="center"/>
        <w:outlineLvl w:val="2"/>
        <w:rPr>
          <w:rFonts w:ascii="Times New Roman" w:hAnsi="Times New Roman" w:eastAsia="宋体" w:cs="Times New Roman"/>
          <w:sz w:val="24"/>
          <w:szCs w:val="24"/>
        </w:rPr>
      </w:pPr>
      <w:r>
        <w:rPr>
          <w:rFonts w:hint="eastAsia" w:ascii="楷体_GB2312" w:hAnsi="楷体_GB2312" w:eastAsia="楷体_GB2312" w:cs="楷体_GB2312"/>
          <w:sz w:val="21"/>
          <w:szCs w:val="21"/>
          <w:lang w:val="en-US" w:eastAsia="zh-CN"/>
        </w:rPr>
        <w:t>表4 各类授牌统计表</w:t>
      </w:r>
    </w:p>
    <w:tbl>
      <w:tblPr>
        <w:tblStyle w:val="13"/>
        <w:tblpPr w:leftFromText="180" w:rightFromText="180" w:vertAnchor="text" w:tblpXSpec="left" w:tblpY="1"/>
        <w:tblOverlap w:val="never"/>
        <w:tblW w:w="8880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00"/>
        <w:gridCol w:w="2342"/>
        <w:gridCol w:w="2688"/>
        <w:gridCol w:w="315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62" w:hRule="atLeast"/>
        </w:trPr>
        <w:tc>
          <w:tcPr>
            <w:tcW w:w="8880" w:type="dxa"/>
            <w:gridSpan w:val="4"/>
            <w:noWrap w:val="0"/>
            <w:vAlign w:val="center"/>
          </w:tcPr>
          <w:p>
            <w:pPr>
              <w:widowControl/>
              <w:jc w:val="center"/>
              <w:rPr>
                <w:rFonts w:hint="eastAsia"/>
                <w:sz w:val="24"/>
                <w:szCs w:val="24"/>
              </w:rPr>
            </w:pPr>
          </w:p>
          <w:p>
            <w:pPr>
              <w:widowControl/>
              <w:jc w:val="center"/>
              <w:rPr>
                <w:rFonts w:hint="eastAsia"/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各类</w:t>
            </w:r>
            <w:r>
              <w:rPr>
                <w:rFonts w:hint="eastAsia"/>
                <w:sz w:val="24"/>
                <w:szCs w:val="24"/>
                <w:lang w:eastAsia="zh-CN"/>
              </w:rPr>
              <w:t>授</w:t>
            </w:r>
            <w:r>
              <w:rPr>
                <w:rFonts w:hint="eastAsia"/>
                <w:sz w:val="24"/>
                <w:szCs w:val="24"/>
              </w:rPr>
              <w:t>牌统计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62" w:hRule="atLeast"/>
        </w:trPr>
        <w:tc>
          <w:tcPr>
            <w:tcW w:w="700" w:type="dxa"/>
            <w:noWrap w:val="0"/>
            <w:vAlign w:val="center"/>
          </w:tcPr>
          <w:p>
            <w:pPr>
              <w:widowControl/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序号</w:t>
            </w:r>
          </w:p>
        </w:tc>
        <w:tc>
          <w:tcPr>
            <w:tcW w:w="2342" w:type="dxa"/>
            <w:noWrap w:val="0"/>
            <w:vAlign w:val="center"/>
          </w:tcPr>
          <w:p>
            <w:pPr>
              <w:widowControl/>
              <w:jc w:val="center"/>
              <w:rPr>
                <w:rFonts w:hint="eastAsia"/>
                <w:sz w:val="24"/>
                <w:szCs w:val="24"/>
              </w:rPr>
            </w:pPr>
          </w:p>
          <w:p>
            <w:pPr>
              <w:widowControl/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时间</w:t>
            </w:r>
          </w:p>
        </w:tc>
        <w:tc>
          <w:tcPr>
            <w:tcW w:w="2688" w:type="dxa"/>
            <w:noWrap w:val="0"/>
            <w:vAlign w:val="center"/>
          </w:tcPr>
          <w:p>
            <w:pPr>
              <w:widowControl/>
              <w:jc w:val="center"/>
              <w:rPr>
                <w:rFonts w:hint="eastAsia"/>
                <w:sz w:val="24"/>
                <w:szCs w:val="24"/>
              </w:rPr>
            </w:pPr>
          </w:p>
          <w:p>
            <w:pPr>
              <w:widowControl/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内容</w:t>
            </w:r>
          </w:p>
        </w:tc>
        <w:tc>
          <w:tcPr>
            <w:tcW w:w="3150" w:type="dxa"/>
            <w:noWrap w:val="0"/>
            <w:vAlign w:val="center"/>
          </w:tcPr>
          <w:p>
            <w:pPr>
              <w:widowControl/>
              <w:jc w:val="center"/>
              <w:rPr>
                <w:rFonts w:hint="eastAsia"/>
                <w:sz w:val="24"/>
                <w:szCs w:val="24"/>
              </w:rPr>
            </w:pPr>
          </w:p>
          <w:p>
            <w:pPr>
              <w:widowControl/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颁发机构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005" w:hRule="atLeast"/>
        </w:trPr>
        <w:tc>
          <w:tcPr>
            <w:tcW w:w="700" w:type="dxa"/>
            <w:noWrap w:val="0"/>
            <w:vAlign w:val="center"/>
          </w:tcPr>
          <w:p>
            <w:pPr>
              <w:widowControl/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1</w:t>
            </w:r>
          </w:p>
        </w:tc>
        <w:tc>
          <w:tcPr>
            <w:tcW w:w="2342" w:type="dxa"/>
            <w:noWrap w:val="0"/>
            <w:vAlign w:val="center"/>
          </w:tcPr>
          <w:p>
            <w:pPr>
              <w:widowControl/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2008年6月</w:t>
            </w:r>
          </w:p>
        </w:tc>
        <w:tc>
          <w:tcPr>
            <w:tcW w:w="2688" w:type="dxa"/>
            <w:noWrap w:val="0"/>
            <w:vAlign w:val="center"/>
          </w:tcPr>
          <w:p>
            <w:pPr>
              <w:widowControl/>
              <w:jc w:val="center"/>
              <w:rPr>
                <w:rFonts w:hint="eastAsia"/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国家级非物质文化遗产</w:t>
            </w:r>
          </w:p>
          <w:p>
            <w:pPr>
              <w:widowControl/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竹编.青神竹编</w:t>
            </w:r>
          </w:p>
        </w:tc>
        <w:tc>
          <w:tcPr>
            <w:tcW w:w="3150" w:type="dxa"/>
            <w:noWrap w:val="0"/>
            <w:vAlign w:val="center"/>
          </w:tcPr>
          <w:p>
            <w:pPr>
              <w:widowControl/>
              <w:jc w:val="center"/>
              <w:rPr>
                <w:rFonts w:hint="eastAsia"/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中华人民共和国国务院</w:t>
            </w:r>
          </w:p>
          <w:p>
            <w:pPr>
              <w:widowControl/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中华人民共和国文化部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032" w:hRule="atLeast"/>
        </w:trPr>
        <w:tc>
          <w:tcPr>
            <w:tcW w:w="700" w:type="dxa"/>
            <w:noWrap w:val="0"/>
            <w:vAlign w:val="center"/>
          </w:tcPr>
          <w:p>
            <w:pPr>
              <w:widowControl/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2</w:t>
            </w:r>
          </w:p>
        </w:tc>
        <w:tc>
          <w:tcPr>
            <w:tcW w:w="2342" w:type="dxa"/>
            <w:noWrap w:val="0"/>
            <w:vAlign w:val="center"/>
          </w:tcPr>
          <w:p>
            <w:pPr>
              <w:widowControl/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2013年4月</w:t>
            </w:r>
          </w:p>
        </w:tc>
        <w:tc>
          <w:tcPr>
            <w:tcW w:w="2688" w:type="dxa"/>
            <w:noWrap w:val="0"/>
            <w:vAlign w:val="center"/>
          </w:tcPr>
          <w:p>
            <w:pPr>
              <w:widowControl/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全国首批百个民族文化传承与创新示范专业点</w:t>
            </w:r>
          </w:p>
        </w:tc>
        <w:tc>
          <w:tcPr>
            <w:tcW w:w="3150" w:type="dxa"/>
            <w:noWrap w:val="0"/>
            <w:vAlign w:val="center"/>
          </w:tcPr>
          <w:p>
            <w:pPr>
              <w:widowControl/>
              <w:jc w:val="center"/>
              <w:rPr>
                <w:rFonts w:hint="eastAsia"/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中华人民共和国教育部</w:t>
            </w:r>
          </w:p>
          <w:p>
            <w:pPr>
              <w:widowControl/>
              <w:jc w:val="center"/>
              <w:rPr>
                <w:rFonts w:hint="eastAsia"/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中华人民共和国文化部</w:t>
            </w:r>
          </w:p>
          <w:p>
            <w:pPr>
              <w:widowControl/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国家民族事务委员会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12" w:hRule="atLeast"/>
        </w:trPr>
        <w:tc>
          <w:tcPr>
            <w:tcW w:w="700" w:type="dxa"/>
            <w:noWrap w:val="0"/>
            <w:vAlign w:val="center"/>
          </w:tcPr>
          <w:p>
            <w:pPr>
              <w:widowControl/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3</w:t>
            </w:r>
          </w:p>
        </w:tc>
        <w:tc>
          <w:tcPr>
            <w:tcW w:w="2342" w:type="dxa"/>
            <w:noWrap w:val="0"/>
            <w:vAlign w:val="center"/>
          </w:tcPr>
          <w:p>
            <w:pPr>
              <w:widowControl/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2013年12月</w:t>
            </w:r>
          </w:p>
        </w:tc>
        <w:tc>
          <w:tcPr>
            <w:tcW w:w="2688" w:type="dxa"/>
            <w:noWrap w:val="0"/>
            <w:vAlign w:val="center"/>
          </w:tcPr>
          <w:p>
            <w:pPr>
              <w:widowControl/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国家级残疾人职业培训基地</w:t>
            </w:r>
          </w:p>
        </w:tc>
        <w:tc>
          <w:tcPr>
            <w:tcW w:w="3150" w:type="dxa"/>
            <w:noWrap w:val="0"/>
            <w:vAlign w:val="center"/>
          </w:tcPr>
          <w:p>
            <w:pPr>
              <w:widowControl/>
              <w:jc w:val="center"/>
              <w:rPr>
                <w:rFonts w:hint="eastAsia"/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中国残疾人联合会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64" w:hRule="atLeast"/>
        </w:trPr>
        <w:tc>
          <w:tcPr>
            <w:tcW w:w="700" w:type="dxa"/>
            <w:noWrap w:val="0"/>
            <w:vAlign w:val="center"/>
          </w:tcPr>
          <w:p>
            <w:pPr>
              <w:widowControl/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4</w:t>
            </w:r>
          </w:p>
        </w:tc>
        <w:tc>
          <w:tcPr>
            <w:tcW w:w="2342" w:type="dxa"/>
            <w:noWrap w:val="0"/>
            <w:vAlign w:val="center"/>
          </w:tcPr>
          <w:p>
            <w:pPr>
              <w:widowControl/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2014年4月</w:t>
            </w:r>
          </w:p>
        </w:tc>
        <w:tc>
          <w:tcPr>
            <w:tcW w:w="2688" w:type="dxa"/>
            <w:noWrap w:val="0"/>
            <w:vAlign w:val="center"/>
          </w:tcPr>
          <w:p>
            <w:pPr>
              <w:widowControl/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四川省省级劳务培训基地</w:t>
            </w:r>
          </w:p>
        </w:tc>
        <w:tc>
          <w:tcPr>
            <w:tcW w:w="3150" w:type="dxa"/>
            <w:noWrap w:val="0"/>
            <w:vAlign w:val="center"/>
          </w:tcPr>
          <w:p>
            <w:pPr>
              <w:widowControl/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四川省劳动开发暨农民工工作领导小组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62" w:hRule="atLeast"/>
        </w:trPr>
        <w:tc>
          <w:tcPr>
            <w:tcW w:w="700" w:type="dxa"/>
            <w:noWrap w:val="0"/>
            <w:vAlign w:val="center"/>
          </w:tcPr>
          <w:p>
            <w:pPr>
              <w:widowControl/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5</w:t>
            </w:r>
          </w:p>
        </w:tc>
        <w:tc>
          <w:tcPr>
            <w:tcW w:w="2342" w:type="dxa"/>
            <w:noWrap w:val="0"/>
            <w:vAlign w:val="center"/>
          </w:tcPr>
          <w:p>
            <w:pPr>
              <w:widowControl/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2015年9月</w:t>
            </w:r>
          </w:p>
        </w:tc>
        <w:tc>
          <w:tcPr>
            <w:tcW w:w="2688" w:type="dxa"/>
            <w:noWrap w:val="0"/>
            <w:vAlign w:val="center"/>
          </w:tcPr>
          <w:p>
            <w:pPr>
              <w:widowControl/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四川省首批现代学徒制试点单位</w:t>
            </w:r>
          </w:p>
        </w:tc>
        <w:tc>
          <w:tcPr>
            <w:tcW w:w="3150" w:type="dxa"/>
            <w:noWrap w:val="0"/>
            <w:vAlign w:val="center"/>
          </w:tcPr>
          <w:p>
            <w:pPr>
              <w:widowControl/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四川省教育厅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045" w:hRule="atLeast"/>
        </w:trPr>
        <w:tc>
          <w:tcPr>
            <w:tcW w:w="700" w:type="dxa"/>
            <w:noWrap w:val="0"/>
            <w:vAlign w:val="center"/>
          </w:tcPr>
          <w:p>
            <w:pPr>
              <w:widowControl/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6</w:t>
            </w:r>
          </w:p>
        </w:tc>
        <w:tc>
          <w:tcPr>
            <w:tcW w:w="2342" w:type="dxa"/>
            <w:noWrap w:val="0"/>
            <w:vAlign w:val="center"/>
          </w:tcPr>
          <w:p>
            <w:pPr>
              <w:widowControl/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2015年1月</w:t>
            </w:r>
          </w:p>
        </w:tc>
        <w:tc>
          <w:tcPr>
            <w:tcW w:w="2688" w:type="dxa"/>
            <w:noWrap w:val="0"/>
            <w:vAlign w:val="center"/>
          </w:tcPr>
          <w:p>
            <w:pPr>
              <w:widowControl/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2014年度眉山市促进就业先进培训机构</w:t>
            </w:r>
          </w:p>
        </w:tc>
        <w:tc>
          <w:tcPr>
            <w:tcW w:w="3150" w:type="dxa"/>
            <w:noWrap w:val="0"/>
            <w:vAlign w:val="center"/>
          </w:tcPr>
          <w:p>
            <w:pPr>
              <w:widowControl/>
              <w:jc w:val="center"/>
              <w:rPr>
                <w:rFonts w:hint="eastAsia"/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中共眉山市委</w:t>
            </w:r>
          </w:p>
          <w:p>
            <w:pPr>
              <w:widowControl/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眉山市人民政府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014" w:hRule="atLeast"/>
        </w:trPr>
        <w:tc>
          <w:tcPr>
            <w:tcW w:w="700" w:type="dxa"/>
            <w:noWrap w:val="0"/>
            <w:vAlign w:val="center"/>
          </w:tcPr>
          <w:p>
            <w:pPr>
              <w:widowControl/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7</w:t>
            </w:r>
          </w:p>
        </w:tc>
        <w:tc>
          <w:tcPr>
            <w:tcW w:w="2342" w:type="dxa"/>
            <w:noWrap w:val="0"/>
            <w:vAlign w:val="center"/>
          </w:tcPr>
          <w:p>
            <w:pPr>
              <w:widowControl/>
              <w:jc w:val="both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2010年12月20日</w:t>
            </w:r>
          </w:p>
        </w:tc>
        <w:tc>
          <w:tcPr>
            <w:tcW w:w="2688" w:type="dxa"/>
            <w:noWrap w:val="0"/>
            <w:vAlign w:val="center"/>
          </w:tcPr>
          <w:p>
            <w:pPr>
              <w:widowControl/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同意增挂“四川青神竹编艺术职业学校”校牌</w:t>
            </w:r>
          </w:p>
        </w:tc>
        <w:tc>
          <w:tcPr>
            <w:tcW w:w="3150" w:type="dxa"/>
            <w:noWrap w:val="0"/>
            <w:vAlign w:val="center"/>
          </w:tcPr>
          <w:p>
            <w:pPr>
              <w:widowControl/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眉山市教育局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98" w:hRule="atLeast"/>
        </w:trPr>
        <w:tc>
          <w:tcPr>
            <w:tcW w:w="700" w:type="dxa"/>
            <w:noWrap w:val="0"/>
            <w:vAlign w:val="center"/>
          </w:tcPr>
          <w:p>
            <w:pPr>
              <w:widowControl/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8</w:t>
            </w:r>
          </w:p>
        </w:tc>
        <w:tc>
          <w:tcPr>
            <w:tcW w:w="2342" w:type="dxa"/>
            <w:noWrap w:val="0"/>
            <w:vAlign w:val="center"/>
          </w:tcPr>
          <w:p>
            <w:pPr>
              <w:widowControl/>
              <w:jc w:val="both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2013年12月24日</w:t>
            </w:r>
          </w:p>
        </w:tc>
        <w:tc>
          <w:tcPr>
            <w:tcW w:w="2688" w:type="dxa"/>
            <w:noWrap w:val="0"/>
            <w:vAlign w:val="center"/>
          </w:tcPr>
          <w:p>
            <w:pPr>
              <w:widowControl/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认定“木材加工（竹编工艺）”专业为市级重点专业</w:t>
            </w:r>
          </w:p>
        </w:tc>
        <w:tc>
          <w:tcPr>
            <w:tcW w:w="3150" w:type="dxa"/>
            <w:noWrap w:val="0"/>
            <w:vAlign w:val="center"/>
          </w:tcPr>
          <w:p>
            <w:pPr>
              <w:widowControl/>
              <w:jc w:val="center"/>
              <w:rPr>
                <w:rFonts w:hint="eastAsia"/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眉山市教育局</w:t>
            </w:r>
          </w:p>
        </w:tc>
      </w:tr>
    </w:tbl>
    <w:p>
      <w:pPr>
        <w:keepNext/>
        <w:keepLines/>
        <w:spacing w:line="440" w:lineRule="exact"/>
        <w:ind w:firstLine="480" w:firstLineChars="200"/>
        <w:outlineLvl w:val="2"/>
        <w:rPr>
          <w:rFonts w:ascii="Times New Roman" w:hAnsi="Times New Roman" w:eastAsia="楷体_GB2312" w:cs="Times New Roman"/>
          <w:bCs/>
          <w:color w:val="000000"/>
          <w:szCs w:val="21"/>
        </w:rPr>
      </w:pPr>
      <w:r>
        <w:rPr>
          <w:rFonts w:ascii="Times New Roman" w:hAnsi="Times New Roman" w:eastAsia="宋体" w:cs="Times New Roman"/>
          <w:sz w:val="24"/>
          <w:szCs w:val="24"/>
        </w:rPr>
        <w:t>2021年8月，在广安面向全省12个市（州）50多所中职学校作成果交流报告；近5年，先后有</w:t>
      </w:r>
      <w:r>
        <w:rPr>
          <w:rFonts w:hint="eastAsia" w:ascii="Times New Roman" w:hAnsi="Times New Roman" w:eastAsia="宋体" w:cs="Times New Roman"/>
          <w:sz w:val="24"/>
          <w:szCs w:val="24"/>
        </w:rPr>
        <w:t>4</w:t>
      </w:r>
      <w:r>
        <w:rPr>
          <w:rFonts w:ascii="Times New Roman" w:hAnsi="Times New Roman" w:eastAsia="宋体" w:cs="Times New Roman"/>
          <w:sz w:val="24"/>
          <w:szCs w:val="24"/>
        </w:rPr>
        <w:t>所中职学校学习借鉴，有英国考文垂大学</w:t>
      </w:r>
      <w:r>
        <w:rPr>
          <w:rFonts w:hint="eastAsia" w:ascii="宋体" w:hAnsi="宋体" w:eastAsia="宋体" w:cs="宋体"/>
          <w:sz w:val="24"/>
          <w:szCs w:val="24"/>
        </w:rPr>
        <w:t>等</w:t>
      </w:r>
      <w:r>
        <w:rPr>
          <w:rFonts w:hint="eastAsia" w:ascii="Times New Roman" w:hAnsi="Times New Roman" w:eastAsia="宋体" w:cs="Times New Roman"/>
          <w:sz w:val="24"/>
          <w:szCs w:val="24"/>
        </w:rPr>
        <w:t>多</w:t>
      </w:r>
      <w:r>
        <w:rPr>
          <w:rFonts w:ascii="Times New Roman" w:hAnsi="Times New Roman" w:eastAsia="宋体" w:cs="Times New Roman"/>
          <w:sz w:val="24"/>
          <w:szCs w:val="24"/>
        </w:rPr>
        <w:t>所高职院校到校参观、交流</w:t>
      </w:r>
      <w:r>
        <w:rPr>
          <w:rFonts w:hint="eastAsia" w:ascii="Times New Roman" w:hAnsi="Times New Roman" w:eastAsia="宋体" w:cs="Times New Roman"/>
          <w:sz w:val="24"/>
          <w:szCs w:val="24"/>
        </w:rPr>
        <w:t>经验</w:t>
      </w:r>
      <w:r>
        <w:rPr>
          <w:rFonts w:ascii="Times New Roman" w:hAnsi="Times New Roman" w:eastAsia="宋体" w:cs="Times New Roman"/>
          <w:sz w:val="24"/>
          <w:szCs w:val="24"/>
        </w:rPr>
        <w:t>。</w:t>
      </w:r>
    </w:p>
    <w:p>
      <w:pPr>
        <w:keepNext/>
        <w:keepLines/>
        <w:spacing w:line="440" w:lineRule="exact"/>
        <w:outlineLvl w:val="2"/>
        <w:rPr>
          <w:rFonts w:ascii="Times New Roman" w:hAnsi="Times New Roman" w:eastAsia="宋体" w:cs="Times New Roman"/>
          <w:sz w:val="24"/>
          <w:szCs w:val="24"/>
        </w:rPr>
      </w:pPr>
    </w:p>
    <w:p>
      <w:pPr>
        <w:keepNext/>
        <w:keepLines/>
        <w:spacing w:line="440" w:lineRule="exact"/>
        <w:outlineLvl w:val="2"/>
        <w:rPr>
          <w:rFonts w:ascii="Times New Roman" w:hAnsi="Times New Roman" w:eastAsia="宋体" w:cs="Times New Roman"/>
          <w:sz w:val="24"/>
          <w:szCs w:val="24"/>
        </w:rPr>
      </w:pPr>
      <w:r>
        <w:drawing>
          <wp:anchor distT="0" distB="0" distL="114935" distR="114935" simplePos="0" relativeHeight="251660288" behindDoc="0" locked="0" layoutInCell="1" allowOverlap="1">
            <wp:simplePos x="0" y="0"/>
            <wp:positionH relativeFrom="column">
              <wp:posOffset>86995</wp:posOffset>
            </wp:positionH>
            <wp:positionV relativeFrom="paragraph">
              <wp:posOffset>97155</wp:posOffset>
            </wp:positionV>
            <wp:extent cx="5273040" cy="5143500"/>
            <wp:effectExtent l="0" t="0" r="0" b="7620"/>
            <wp:wrapNone/>
            <wp:docPr id="12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5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5143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keepNext/>
        <w:keepLines/>
        <w:spacing w:line="440" w:lineRule="exact"/>
        <w:outlineLvl w:val="2"/>
        <w:rPr>
          <w:rFonts w:ascii="Times New Roman" w:hAnsi="Times New Roman" w:eastAsia="宋体" w:cs="Times New Roman"/>
          <w:sz w:val="24"/>
          <w:szCs w:val="24"/>
        </w:rPr>
      </w:pPr>
    </w:p>
    <w:p>
      <w:pPr>
        <w:keepNext/>
        <w:keepLines/>
        <w:spacing w:line="440" w:lineRule="exact"/>
        <w:outlineLvl w:val="2"/>
        <w:rPr>
          <w:rFonts w:ascii="Times New Roman" w:hAnsi="Times New Roman" w:eastAsia="宋体" w:cs="Times New Roman"/>
          <w:sz w:val="24"/>
          <w:szCs w:val="24"/>
        </w:rPr>
      </w:pPr>
    </w:p>
    <w:p>
      <w:pPr>
        <w:keepNext/>
        <w:keepLines/>
        <w:spacing w:line="440" w:lineRule="exact"/>
        <w:outlineLvl w:val="2"/>
        <w:rPr>
          <w:rFonts w:ascii="Times New Roman" w:hAnsi="Times New Roman" w:eastAsia="宋体" w:cs="Times New Roman"/>
          <w:sz w:val="24"/>
          <w:szCs w:val="24"/>
        </w:rPr>
      </w:pPr>
    </w:p>
    <w:p>
      <w:pPr>
        <w:keepNext/>
        <w:keepLines/>
        <w:spacing w:line="440" w:lineRule="exact"/>
        <w:outlineLvl w:val="2"/>
        <w:rPr>
          <w:rFonts w:ascii="Times New Roman" w:hAnsi="Times New Roman" w:eastAsia="宋体" w:cs="Times New Roman"/>
          <w:sz w:val="24"/>
          <w:szCs w:val="24"/>
        </w:rPr>
      </w:pPr>
    </w:p>
    <w:p>
      <w:pPr>
        <w:keepNext/>
        <w:keepLines/>
        <w:spacing w:line="440" w:lineRule="exact"/>
        <w:outlineLvl w:val="2"/>
        <w:rPr>
          <w:rFonts w:ascii="Times New Roman" w:hAnsi="Times New Roman" w:eastAsia="宋体" w:cs="Times New Roman"/>
          <w:sz w:val="24"/>
          <w:szCs w:val="24"/>
        </w:rPr>
      </w:pPr>
    </w:p>
    <w:p>
      <w:pPr>
        <w:keepNext/>
        <w:keepLines/>
        <w:spacing w:line="440" w:lineRule="exact"/>
        <w:outlineLvl w:val="2"/>
        <w:rPr>
          <w:rFonts w:ascii="Times New Roman" w:hAnsi="Times New Roman" w:eastAsia="宋体" w:cs="Times New Roman"/>
          <w:sz w:val="24"/>
          <w:szCs w:val="24"/>
        </w:rPr>
      </w:pPr>
    </w:p>
    <w:p>
      <w:pPr>
        <w:keepNext/>
        <w:keepLines/>
        <w:spacing w:line="440" w:lineRule="exact"/>
        <w:outlineLvl w:val="2"/>
        <w:rPr>
          <w:rFonts w:ascii="Times New Roman" w:hAnsi="Times New Roman" w:eastAsia="宋体" w:cs="Times New Roman"/>
          <w:sz w:val="24"/>
          <w:szCs w:val="24"/>
        </w:rPr>
      </w:pPr>
    </w:p>
    <w:p>
      <w:pPr>
        <w:keepNext/>
        <w:keepLines/>
        <w:spacing w:line="440" w:lineRule="exact"/>
        <w:outlineLvl w:val="2"/>
        <w:rPr>
          <w:rFonts w:ascii="Times New Roman" w:hAnsi="Times New Roman" w:eastAsia="宋体" w:cs="Times New Roman"/>
          <w:sz w:val="24"/>
          <w:szCs w:val="24"/>
        </w:rPr>
      </w:pPr>
    </w:p>
    <w:p>
      <w:pPr>
        <w:keepNext/>
        <w:keepLines/>
        <w:spacing w:line="440" w:lineRule="exact"/>
        <w:outlineLvl w:val="2"/>
        <w:rPr>
          <w:rFonts w:ascii="Times New Roman" w:hAnsi="Times New Roman" w:eastAsia="宋体" w:cs="Times New Roman"/>
          <w:sz w:val="24"/>
          <w:szCs w:val="24"/>
        </w:rPr>
      </w:pPr>
    </w:p>
    <w:p>
      <w:pPr>
        <w:keepNext/>
        <w:keepLines/>
        <w:spacing w:line="440" w:lineRule="exact"/>
        <w:outlineLvl w:val="2"/>
        <w:rPr>
          <w:rFonts w:ascii="Times New Roman" w:hAnsi="Times New Roman" w:eastAsia="宋体" w:cs="Times New Roman"/>
          <w:sz w:val="24"/>
          <w:szCs w:val="24"/>
        </w:rPr>
      </w:pPr>
    </w:p>
    <w:p>
      <w:pPr>
        <w:keepNext/>
        <w:keepLines/>
        <w:spacing w:line="440" w:lineRule="exact"/>
        <w:outlineLvl w:val="2"/>
        <w:rPr>
          <w:rFonts w:ascii="Times New Roman" w:hAnsi="Times New Roman" w:eastAsia="宋体" w:cs="Times New Roman"/>
          <w:sz w:val="24"/>
          <w:szCs w:val="24"/>
        </w:rPr>
      </w:pPr>
    </w:p>
    <w:p>
      <w:pPr>
        <w:keepNext/>
        <w:keepLines/>
        <w:spacing w:line="440" w:lineRule="exact"/>
        <w:outlineLvl w:val="2"/>
        <w:rPr>
          <w:rFonts w:ascii="Times New Roman" w:hAnsi="Times New Roman" w:eastAsia="宋体" w:cs="Times New Roman"/>
          <w:sz w:val="24"/>
          <w:szCs w:val="24"/>
        </w:rPr>
      </w:pPr>
    </w:p>
    <w:p>
      <w:pPr>
        <w:keepNext/>
        <w:keepLines/>
        <w:spacing w:line="440" w:lineRule="exact"/>
        <w:outlineLvl w:val="2"/>
        <w:rPr>
          <w:rFonts w:ascii="Times New Roman" w:hAnsi="Times New Roman" w:eastAsia="宋体" w:cs="Times New Roman"/>
          <w:sz w:val="24"/>
          <w:szCs w:val="24"/>
        </w:rPr>
      </w:pPr>
    </w:p>
    <w:p>
      <w:pPr>
        <w:keepNext/>
        <w:keepLines/>
        <w:spacing w:line="440" w:lineRule="exact"/>
        <w:outlineLvl w:val="2"/>
        <w:rPr>
          <w:rFonts w:ascii="Times New Roman" w:hAnsi="Times New Roman" w:eastAsia="宋体" w:cs="Times New Roman"/>
          <w:sz w:val="24"/>
          <w:szCs w:val="24"/>
        </w:rPr>
      </w:pPr>
    </w:p>
    <w:p>
      <w:pPr>
        <w:keepNext/>
        <w:keepLines/>
        <w:spacing w:line="440" w:lineRule="exact"/>
        <w:outlineLvl w:val="2"/>
        <w:rPr>
          <w:rFonts w:ascii="Times New Roman" w:hAnsi="Times New Roman" w:eastAsia="宋体" w:cs="Times New Roman"/>
          <w:sz w:val="24"/>
          <w:szCs w:val="24"/>
        </w:rPr>
      </w:pPr>
    </w:p>
    <w:p>
      <w:pPr>
        <w:keepNext/>
        <w:keepLines/>
        <w:spacing w:line="440" w:lineRule="exact"/>
        <w:outlineLvl w:val="2"/>
        <w:rPr>
          <w:rFonts w:ascii="Times New Roman" w:hAnsi="Times New Roman" w:eastAsia="宋体" w:cs="Times New Roman"/>
          <w:sz w:val="24"/>
          <w:szCs w:val="24"/>
        </w:rPr>
      </w:pPr>
    </w:p>
    <w:p>
      <w:pPr>
        <w:keepNext/>
        <w:keepLines/>
        <w:spacing w:line="440" w:lineRule="exact"/>
        <w:outlineLvl w:val="2"/>
        <w:rPr>
          <w:rFonts w:ascii="Times New Roman" w:hAnsi="Times New Roman" w:eastAsia="宋体" w:cs="Times New Roman"/>
          <w:sz w:val="24"/>
          <w:szCs w:val="24"/>
        </w:rPr>
      </w:pPr>
    </w:p>
    <w:p>
      <w:pPr>
        <w:keepNext/>
        <w:keepLines/>
        <w:spacing w:line="440" w:lineRule="exact"/>
        <w:outlineLvl w:val="2"/>
        <w:rPr>
          <w:rFonts w:ascii="Times New Roman" w:hAnsi="Times New Roman" w:eastAsia="宋体" w:cs="Times New Roman"/>
          <w:sz w:val="24"/>
          <w:szCs w:val="24"/>
        </w:rPr>
      </w:pPr>
    </w:p>
    <w:p>
      <w:pPr>
        <w:keepNext/>
        <w:keepLines/>
        <w:spacing w:line="440" w:lineRule="exact"/>
        <w:outlineLvl w:val="2"/>
        <w:rPr>
          <w:rFonts w:ascii="Times New Roman" w:hAnsi="Times New Roman" w:eastAsia="宋体" w:cs="Times New Roman"/>
          <w:sz w:val="24"/>
          <w:szCs w:val="24"/>
        </w:rPr>
      </w:pPr>
    </w:p>
    <w:p>
      <w:pPr>
        <w:keepNext/>
        <w:keepLines/>
        <w:spacing w:line="440" w:lineRule="exact"/>
        <w:outlineLvl w:val="2"/>
        <w:rPr>
          <w:rFonts w:ascii="Times New Roman" w:hAnsi="Times New Roman" w:eastAsia="宋体" w:cs="Times New Roman"/>
          <w:sz w:val="24"/>
          <w:szCs w:val="24"/>
        </w:rPr>
      </w:pPr>
    </w:p>
    <w:p>
      <w:pPr>
        <w:keepNext/>
        <w:keepLines/>
        <w:spacing w:line="440" w:lineRule="exact"/>
        <w:outlineLvl w:val="2"/>
        <w:rPr>
          <w:rFonts w:ascii="Times New Roman" w:hAnsi="Times New Roman" w:eastAsia="宋体" w:cs="Times New Roman"/>
          <w:sz w:val="24"/>
          <w:szCs w:val="24"/>
        </w:rPr>
      </w:pPr>
    </w:p>
    <w:p>
      <w:pPr>
        <w:keepNext/>
        <w:keepLines/>
        <w:spacing w:line="440" w:lineRule="exact"/>
        <w:outlineLvl w:val="2"/>
        <w:rPr>
          <w:rFonts w:ascii="Times New Roman" w:hAnsi="Times New Roman" w:eastAsia="宋体" w:cs="Times New Roman"/>
          <w:sz w:val="24"/>
          <w:szCs w:val="24"/>
        </w:rPr>
      </w:pPr>
    </w:p>
    <w:p>
      <w:pPr>
        <w:keepNext/>
        <w:keepLines/>
        <w:spacing w:line="440" w:lineRule="exact"/>
        <w:outlineLvl w:val="2"/>
        <w:rPr>
          <w:rFonts w:ascii="Times New Roman" w:hAnsi="Times New Roman" w:eastAsia="宋体" w:cs="Times New Roman"/>
          <w:sz w:val="24"/>
          <w:szCs w:val="24"/>
        </w:rPr>
      </w:pPr>
    </w:p>
    <w:p>
      <w:pPr>
        <w:keepNext/>
        <w:keepLines/>
        <w:spacing w:line="440" w:lineRule="exact"/>
        <w:outlineLvl w:val="2"/>
        <w:rPr>
          <w:rFonts w:ascii="Times New Roman" w:hAnsi="Times New Roman" w:eastAsia="宋体" w:cs="Times New Roman"/>
          <w:sz w:val="24"/>
          <w:szCs w:val="24"/>
        </w:rPr>
      </w:pPr>
    </w:p>
    <w:p>
      <w:pPr>
        <w:keepNext/>
        <w:keepLines/>
        <w:spacing w:line="440" w:lineRule="exact"/>
        <w:outlineLvl w:val="2"/>
        <w:rPr>
          <w:rFonts w:ascii="Times New Roman" w:hAnsi="Times New Roman" w:eastAsia="宋体" w:cs="Times New Roman"/>
          <w:sz w:val="24"/>
          <w:szCs w:val="24"/>
        </w:rPr>
      </w:pPr>
    </w:p>
    <w:p>
      <w:pPr>
        <w:keepNext/>
        <w:keepLines/>
        <w:spacing w:line="440" w:lineRule="exact"/>
        <w:outlineLvl w:val="2"/>
        <w:rPr>
          <w:rFonts w:ascii="Times New Roman" w:hAnsi="Times New Roman" w:eastAsia="宋体" w:cs="Times New Roman"/>
          <w:sz w:val="24"/>
          <w:szCs w:val="24"/>
        </w:rPr>
      </w:pPr>
    </w:p>
    <w:p>
      <w:pPr>
        <w:keepNext/>
        <w:keepLines/>
        <w:spacing w:line="440" w:lineRule="exact"/>
        <w:outlineLvl w:val="2"/>
        <w:rPr>
          <w:rFonts w:ascii="Times New Roman" w:hAnsi="Times New Roman" w:eastAsia="宋体" w:cs="Times New Roman"/>
          <w:sz w:val="24"/>
          <w:szCs w:val="24"/>
        </w:rPr>
      </w:pPr>
    </w:p>
    <w:p>
      <w:pPr>
        <w:keepNext/>
        <w:keepLines/>
        <w:spacing w:line="440" w:lineRule="exact"/>
        <w:outlineLvl w:val="2"/>
        <w:rPr>
          <w:rFonts w:ascii="Times New Roman" w:hAnsi="Times New Roman" w:eastAsia="宋体" w:cs="Times New Roman"/>
          <w:sz w:val="24"/>
          <w:szCs w:val="24"/>
        </w:rPr>
      </w:pPr>
      <w: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1270</wp:posOffset>
            </wp:positionH>
            <wp:positionV relativeFrom="paragraph">
              <wp:posOffset>-2540</wp:posOffset>
            </wp:positionV>
            <wp:extent cx="5273040" cy="5264785"/>
            <wp:effectExtent l="0" t="0" r="0" b="8255"/>
            <wp:wrapNone/>
            <wp:docPr id="17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6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5264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keepNext/>
        <w:keepLines/>
        <w:spacing w:line="440" w:lineRule="exact"/>
        <w:outlineLvl w:val="2"/>
        <w:rPr>
          <w:rFonts w:ascii="Times New Roman" w:hAnsi="Times New Roman" w:eastAsia="宋体" w:cs="Times New Roman"/>
          <w:sz w:val="24"/>
          <w:szCs w:val="24"/>
        </w:rPr>
      </w:pPr>
    </w:p>
    <w:p>
      <w:pPr>
        <w:keepNext/>
        <w:keepLines/>
        <w:spacing w:line="440" w:lineRule="exact"/>
        <w:outlineLvl w:val="2"/>
        <w:rPr>
          <w:rFonts w:ascii="Times New Roman" w:hAnsi="Times New Roman" w:eastAsia="宋体" w:cs="Times New Roman"/>
          <w:sz w:val="24"/>
          <w:szCs w:val="24"/>
        </w:rPr>
      </w:pPr>
    </w:p>
    <w:p>
      <w:pPr>
        <w:keepNext/>
        <w:keepLines/>
        <w:spacing w:line="440" w:lineRule="exact"/>
        <w:outlineLvl w:val="2"/>
        <w:rPr>
          <w:rFonts w:ascii="Times New Roman" w:hAnsi="Times New Roman" w:eastAsia="宋体" w:cs="Times New Roman"/>
          <w:sz w:val="24"/>
          <w:szCs w:val="24"/>
        </w:rPr>
      </w:pPr>
    </w:p>
    <w:p>
      <w:pPr>
        <w:keepNext/>
        <w:keepLines/>
        <w:spacing w:line="440" w:lineRule="exact"/>
        <w:outlineLvl w:val="2"/>
        <w:rPr>
          <w:rFonts w:ascii="Times New Roman" w:hAnsi="Times New Roman" w:eastAsia="宋体" w:cs="Times New Roman"/>
          <w:sz w:val="24"/>
          <w:szCs w:val="24"/>
        </w:rPr>
      </w:pPr>
    </w:p>
    <w:p>
      <w:pPr>
        <w:keepNext/>
        <w:keepLines/>
        <w:spacing w:line="440" w:lineRule="exact"/>
        <w:outlineLvl w:val="2"/>
        <w:rPr>
          <w:rFonts w:ascii="Times New Roman" w:hAnsi="Times New Roman" w:eastAsia="宋体" w:cs="Times New Roman"/>
          <w:sz w:val="24"/>
          <w:szCs w:val="24"/>
        </w:rPr>
      </w:pPr>
    </w:p>
    <w:p>
      <w:pPr>
        <w:keepNext/>
        <w:keepLines/>
        <w:spacing w:line="440" w:lineRule="exact"/>
        <w:outlineLvl w:val="2"/>
        <w:rPr>
          <w:rFonts w:ascii="Times New Roman" w:hAnsi="Times New Roman" w:eastAsia="宋体" w:cs="Times New Roman"/>
          <w:sz w:val="24"/>
          <w:szCs w:val="24"/>
        </w:rPr>
      </w:pPr>
    </w:p>
    <w:p>
      <w:pPr>
        <w:keepNext/>
        <w:keepLines/>
        <w:spacing w:line="440" w:lineRule="exact"/>
        <w:outlineLvl w:val="2"/>
        <w:rPr>
          <w:rFonts w:ascii="Times New Roman" w:hAnsi="Times New Roman" w:eastAsia="宋体" w:cs="Times New Roman"/>
          <w:sz w:val="24"/>
          <w:szCs w:val="24"/>
        </w:rPr>
      </w:pPr>
    </w:p>
    <w:p>
      <w:pPr>
        <w:keepNext/>
        <w:keepLines/>
        <w:spacing w:line="440" w:lineRule="exact"/>
        <w:outlineLvl w:val="2"/>
        <w:rPr>
          <w:rFonts w:ascii="Times New Roman" w:hAnsi="Times New Roman" w:eastAsia="宋体" w:cs="Times New Roman"/>
          <w:sz w:val="24"/>
          <w:szCs w:val="24"/>
        </w:rPr>
      </w:pPr>
    </w:p>
    <w:p>
      <w:pPr>
        <w:keepNext/>
        <w:keepLines/>
        <w:spacing w:line="440" w:lineRule="exact"/>
        <w:outlineLvl w:val="2"/>
        <w:rPr>
          <w:rFonts w:ascii="Times New Roman" w:hAnsi="Times New Roman" w:eastAsia="宋体" w:cs="Times New Roman"/>
          <w:sz w:val="24"/>
          <w:szCs w:val="24"/>
        </w:rPr>
      </w:pPr>
    </w:p>
    <w:p>
      <w:pPr>
        <w:keepNext/>
        <w:keepLines/>
        <w:spacing w:line="440" w:lineRule="exact"/>
        <w:outlineLvl w:val="2"/>
        <w:rPr>
          <w:rFonts w:ascii="Times New Roman" w:hAnsi="Times New Roman" w:eastAsia="宋体" w:cs="Times New Roman"/>
          <w:sz w:val="24"/>
          <w:szCs w:val="24"/>
        </w:rPr>
      </w:pPr>
    </w:p>
    <w:p>
      <w:pPr>
        <w:keepNext/>
        <w:keepLines/>
        <w:spacing w:line="440" w:lineRule="exact"/>
        <w:outlineLvl w:val="2"/>
        <w:rPr>
          <w:rFonts w:ascii="Times New Roman" w:hAnsi="Times New Roman" w:eastAsia="宋体" w:cs="Times New Roman"/>
          <w:sz w:val="24"/>
          <w:szCs w:val="24"/>
        </w:rPr>
      </w:pPr>
    </w:p>
    <w:p>
      <w:pPr>
        <w:keepNext/>
        <w:keepLines/>
        <w:spacing w:line="440" w:lineRule="exact"/>
        <w:outlineLvl w:val="2"/>
        <w:rPr>
          <w:rFonts w:ascii="Times New Roman" w:hAnsi="Times New Roman" w:eastAsia="宋体" w:cs="Times New Roman"/>
          <w:sz w:val="24"/>
          <w:szCs w:val="24"/>
        </w:rPr>
      </w:pPr>
    </w:p>
    <w:p>
      <w:pPr>
        <w:keepNext/>
        <w:keepLines/>
        <w:spacing w:line="440" w:lineRule="exact"/>
        <w:outlineLvl w:val="2"/>
        <w:rPr>
          <w:rFonts w:ascii="Times New Roman" w:hAnsi="Times New Roman" w:eastAsia="宋体" w:cs="Times New Roman"/>
          <w:sz w:val="24"/>
          <w:szCs w:val="24"/>
        </w:rPr>
      </w:pPr>
    </w:p>
    <w:p>
      <w:pPr>
        <w:keepNext/>
        <w:keepLines/>
        <w:spacing w:line="440" w:lineRule="exact"/>
        <w:outlineLvl w:val="2"/>
        <w:rPr>
          <w:rFonts w:ascii="Times New Roman" w:hAnsi="Times New Roman" w:eastAsia="宋体" w:cs="Times New Roman"/>
          <w:sz w:val="24"/>
          <w:szCs w:val="24"/>
        </w:rPr>
      </w:pPr>
    </w:p>
    <w:p>
      <w:pPr>
        <w:keepNext/>
        <w:keepLines/>
        <w:spacing w:line="440" w:lineRule="exact"/>
        <w:outlineLvl w:val="2"/>
        <w:rPr>
          <w:rFonts w:ascii="Times New Roman" w:hAnsi="Times New Roman" w:eastAsia="宋体" w:cs="Times New Roman"/>
          <w:sz w:val="24"/>
          <w:szCs w:val="24"/>
        </w:rPr>
      </w:pPr>
    </w:p>
    <w:p>
      <w:pPr>
        <w:keepNext/>
        <w:keepLines/>
        <w:spacing w:line="440" w:lineRule="exact"/>
        <w:outlineLvl w:val="2"/>
        <w:rPr>
          <w:rFonts w:ascii="Times New Roman" w:hAnsi="Times New Roman" w:eastAsia="宋体" w:cs="Times New Roman"/>
          <w:sz w:val="24"/>
          <w:szCs w:val="24"/>
        </w:rPr>
      </w:pPr>
    </w:p>
    <w:p>
      <w:pPr>
        <w:keepNext/>
        <w:keepLines/>
        <w:spacing w:line="440" w:lineRule="exact"/>
        <w:outlineLvl w:val="2"/>
        <w:rPr>
          <w:rFonts w:ascii="Times New Roman" w:hAnsi="Times New Roman" w:eastAsia="宋体" w:cs="Times New Roman"/>
          <w:sz w:val="24"/>
          <w:szCs w:val="24"/>
        </w:rPr>
      </w:pPr>
    </w:p>
    <w:p>
      <w:pPr>
        <w:keepNext/>
        <w:keepLines/>
        <w:spacing w:line="440" w:lineRule="exact"/>
        <w:outlineLvl w:val="2"/>
        <w:rPr>
          <w:rFonts w:ascii="Times New Roman" w:hAnsi="Times New Roman" w:eastAsia="宋体" w:cs="Times New Roman"/>
          <w:sz w:val="24"/>
          <w:szCs w:val="24"/>
        </w:rPr>
      </w:pPr>
    </w:p>
    <w:p>
      <w:pPr>
        <w:keepNext/>
        <w:keepLines/>
        <w:spacing w:line="440" w:lineRule="exact"/>
        <w:ind w:firstLine="420" w:firstLineChars="200"/>
        <w:jc w:val="center"/>
        <w:outlineLvl w:val="2"/>
        <w:rPr>
          <w:rFonts w:hint="eastAsia" w:ascii="Times New Roman" w:hAnsi="Times New Roman" w:eastAsia="楷体_GB2312" w:cs="Times New Roman"/>
          <w:bCs/>
          <w:color w:val="000000"/>
          <w:szCs w:val="21"/>
        </w:rPr>
      </w:pPr>
      <w:r>
        <w:rPr>
          <w:rFonts w:hint="eastAsia" w:ascii="Times New Roman" w:hAnsi="Times New Roman" w:eastAsia="楷体_GB2312" w:cs="Times New Roman"/>
          <w:bCs/>
          <w:color w:val="000000"/>
          <w:szCs w:val="21"/>
        </w:rPr>
        <w:t>表</w:t>
      </w:r>
      <w:r>
        <w:rPr>
          <w:rFonts w:hint="eastAsia" w:ascii="Times New Roman" w:hAnsi="Times New Roman" w:eastAsia="楷体_GB2312" w:cs="Times New Roman"/>
          <w:bCs/>
          <w:color w:val="000000"/>
          <w:szCs w:val="21"/>
          <w:lang w:val="en-US" w:eastAsia="zh-CN"/>
        </w:rPr>
        <w:t>5</w:t>
      </w:r>
      <w:r>
        <w:rPr>
          <w:rFonts w:hint="eastAsia" w:ascii="Times New Roman" w:hAnsi="Times New Roman" w:eastAsia="楷体_GB2312" w:cs="Times New Roman"/>
          <w:bCs/>
          <w:color w:val="000000"/>
          <w:szCs w:val="21"/>
        </w:rPr>
        <w:t xml:space="preserve"> 参观学习交流影响统计</w:t>
      </w:r>
    </w:p>
    <w:p>
      <w:pPr>
        <w:keepNext/>
        <w:keepLines/>
        <w:spacing w:line="440" w:lineRule="exact"/>
        <w:ind w:firstLine="420" w:firstLineChars="200"/>
        <w:jc w:val="center"/>
        <w:outlineLvl w:val="2"/>
        <w:rPr>
          <w:rFonts w:hint="eastAsia" w:ascii="Times New Roman" w:hAnsi="Times New Roman" w:eastAsia="楷体_GB2312" w:cs="Times New Roman"/>
          <w:bCs/>
          <w:color w:val="000000"/>
          <w:szCs w:val="21"/>
        </w:rPr>
      </w:pPr>
    </w:p>
    <w:p>
      <w:pPr>
        <w:keepNext/>
        <w:keepLines/>
        <w:spacing w:line="440" w:lineRule="exact"/>
        <w:ind w:firstLine="480" w:firstLineChars="200"/>
        <w:outlineLvl w:val="2"/>
        <w:rPr>
          <w:rFonts w:ascii="Times New Roman" w:hAnsi="Times New Roman" w:eastAsia="宋体" w:cs="Times New Roman"/>
          <w:sz w:val="24"/>
          <w:szCs w:val="24"/>
        </w:rPr>
      </w:pPr>
      <w:r>
        <w:rPr>
          <w:rFonts w:hint="eastAsia" w:ascii="Times New Roman" w:hAnsi="Times New Roman" w:eastAsia="宋体" w:cs="Times New Roman"/>
          <w:sz w:val="24"/>
          <w:szCs w:val="24"/>
        </w:rPr>
        <w:t>近6年来，中央电视台、</w:t>
      </w:r>
      <w:r>
        <w:rPr>
          <w:rFonts w:ascii="Times New Roman" w:hAnsi="Times New Roman" w:eastAsia="宋体" w:cs="Times New Roman"/>
          <w:sz w:val="24"/>
          <w:szCs w:val="24"/>
        </w:rPr>
        <w:t>人民日报等媒体宣传报道</w:t>
      </w:r>
      <w:r>
        <w:rPr>
          <w:rFonts w:hint="eastAsia" w:ascii="Times New Roman" w:hAnsi="Times New Roman" w:eastAsia="宋体" w:cs="Times New Roman"/>
          <w:sz w:val="24"/>
          <w:szCs w:val="24"/>
        </w:rPr>
        <w:t>23</w:t>
      </w:r>
      <w:r>
        <w:rPr>
          <w:rFonts w:ascii="Times New Roman" w:hAnsi="Times New Roman" w:eastAsia="宋体" w:cs="Times New Roman"/>
          <w:sz w:val="24"/>
          <w:szCs w:val="24"/>
        </w:rPr>
        <w:t>次</w:t>
      </w:r>
      <w:r>
        <w:rPr>
          <w:rFonts w:hint="eastAsia" w:ascii="Times New Roman" w:hAnsi="Times New Roman" w:eastAsia="宋体" w:cs="Times New Roman"/>
          <w:sz w:val="24"/>
          <w:szCs w:val="24"/>
        </w:rPr>
        <w:t>。2021年9月，中央电视台对青神竹编小镇建设进行了专题报道，</w:t>
      </w:r>
      <w:r>
        <w:rPr>
          <w:rFonts w:ascii="Times New Roman" w:hAnsi="Times New Roman" w:eastAsia="宋体" w:cs="Times New Roman"/>
          <w:sz w:val="24"/>
          <w:szCs w:val="24"/>
        </w:rPr>
        <w:t>社会影响不断扩大</w:t>
      </w:r>
      <w:r>
        <w:rPr>
          <w:rFonts w:hint="eastAsia" w:ascii="Times New Roman" w:hAnsi="Times New Roman" w:eastAsia="宋体" w:cs="Times New Roman"/>
          <w:sz w:val="24"/>
          <w:szCs w:val="24"/>
        </w:rPr>
        <w:t>。</w:t>
      </w:r>
    </w:p>
    <w:p>
      <w:pPr>
        <w:pStyle w:val="4"/>
        <w:spacing w:before="40" w:after="40" w:line="360" w:lineRule="auto"/>
        <w:rPr>
          <w:rFonts w:ascii="宋体" w:hAnsi="宋体" w:eastAsia="宋体"/>
          <w:sz w:val="24"/>
          <w:szCs w:val="24"/>
        </w:rPr>
      </w:pPr>
    </w:p>
    <w:p>
      <w:pPr>
        <w:rPr>
          <w:rFonts w:ascii="宋体" w:hAnsi="宋体" w:eastAsia="宋体"/>
          <w:sz w:val="24"/>
          <w:szCs w:val="24"/>
        </w:rPr>
      </w:pPr>
    </w:p>
    <w:p>
      <w:pPr>
        <w:rPr>
          <w:rFonts w:ascii="宋体" w:hAnsi="宋体" w:eastAsia="宋体"/>
          <w:sz w:val="24"/>
          <w:szCs w:val="24"/>
        </w:rPr>
      </w:pPr>
    </w:p>
    <w:p>
      <w:pPr>
        <w:rPr>
          <w:rFonts w:ascii="宋体" w:hAnsi="宋体" w:eastAsia="宋体"/>
          <w:sz w:val="24"/>
          <w:szCs w:val="24"/>
        </w:rPr>
      </w:pPr>
    </w:p>
    <w:p>
      <w:pPr>
        <w:rPr>
          <w:rFonts w:ascii="宋体" w:hAnsi="宋体" w:eastAsia="宋体"/>
          <w:sz w:val="24"/>
          <w:szCs w:val="24"/>
        </w:rPr>
      </w:pPr>
    </w:p>
    <w:p>
      <w:pPr>
        <w:rPr>
          <w:rFonts w:ascii="宋体" w:hAnsi="宋体" w:eastAsia="宋体"/>
          <w:sz w:val="24"/>
          <w:szCs w:val="24"/>
        </w:rPr>
      </w:pPr>
    </w:p>
    <w:p>
      <w:pPr>
        <w:rPr>
          <w:rFonts w:ascii="宋体" w:hAnsi="宋体" w:eastAsia="宋体"/>
          <w:sz w:val="24"/>
          <w:szCs w:val="24"/>
        </w:rPr>
      </w:pPr>
    </w:p>
    <w:p>
      <w:pPr>
        <w:rPr>
          <w:rFonts w:ascii="宋体" w:hAnsi="宋体" w:eastAsia="宋体"/>
          <w:sz w:val="24"/>
          <w:szCs w:val="24"/>
        </w:rPr>
      </w:pPr>
    </w:p>
    <w:p>
      <w:pPr>
        <w:rPr>
          <w:rFonts w:ascii="宋体" w:hAnsi="宋体" w:eastAsia="宋体"/>
          <w:sz w:val="24"/>
          <w:szCs w:val="24"/>
        </w:rPr>
      </w:pPr>
    </w:p>
    <w:p>
      <w:pPr>
        <w:rPr>
          <w:rFonts w:ascii="宋体" w:hAnsi="宋体" w:eastAsia="宋体"/>
          <w:sz w:val="24"/>
          <w:szCs w:val="24"/>
        </w:rPr>
      </w:pPr>
    </w:p>
    <w:p>
      <w:pPr>
        <w:rPr>
          <w:rFonts w:ascii="宋体" w:hAnsi="宋体" w:eastAsia="宋体"/>
          <w:sz w:val="24"/>
          <w:szCs w:val="24"/>
        </w:rPr>
      </w:pPr>
      <w:r>
        <w:rPr>
          <w:rFonts w:ascii="宋体" w:hAnsi="宋体" w:cs="宋体"/>
          <w:kern w:val="0"/>
          <w:sz w:val="24"/>
          <w:lang w:bidi="ar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-13335</wp:posOffset>
            </wp:positionH>
            <wp:positionV relativeFrom="paragraph">
              <wp:posOffset>-14605</wp:posOffset>
            </wp:positionV>
            <wp:extent cx="5383530" cy="8232140"/>
            <wp:effectExtent l="0" t="0" r="11430" b="12700"/>
            <wp:wrapNone/>
            <wp:docPr id="30" name="图片 8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8" descr="IMG_256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383530" cy="8232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rPr>
          <w:rFonts w:ascii="宋体" w:hAnsi="宋体" w:eastAsia="宋体"/>
          <w:sz w:val="24"/>
          <w:szCs w:val="24"/>
        </w:rPr>
      </w:pPr>
    </w:p>
    <w:p>
      <w:pPr>
        <w:rPr>
          <w:rFonts w:ascii="宋体" w:hAnsi="宋体" w:eastAsia="宋体"/>
          <w:sz w:val="24"/>
          <w:szCs w:val="24"/>
        </w:rPr>
      </w:pPr>
    </w:p>
    <w:p>
      <w:pPr>
        <w:rPr>
          <w:rFonts w:ascii="宋体" w:hAnsi="宋体" w:eastAsia="宋体"/>
          <w:sz w:val="24"/>
          <w:szCs w:val="24"/>
        </w:rPr>
      </w:pPr>
    </w:p>
    <w:p>
      <w:pPr>
        <w:rPr>
          <w:rFonts w:ascii="宋体" w:hAnsi="宋体" w:eastAsia="宋体"/>
          <w:sz w:val="24"/>
          <w:szCs w:val="24"/>
        </w:rPr>
      </w:pPr>
    </w:p>
    <w:p>
      <w:pPr>
        <w:rPr>
          <w:rFonts w:ascii="宋体" w:hAnsi="宋体" w:eastAsia="宋体"/>
          <w:sz w:val="24"/>
          <w:szCs w:val="24"/>
        </w:rPr>
      </w:pPr>
    </w:p>
    <w:p>
      <w:pPr>
        <w:rPr>
          <w:rFonts w:ascii="宋体" w:hAnsi="宋体" w:eastAsia="宋体"/>
          <w:sz w:val="24"/>
          <w:szCs w:val="24"/>
        </w:rPr>
      </w:pPr>
    </w:p>
    <w:p>
      <w:pPr>
        <w:rPr>
          <w:rFonts w:ascii="宋体" w:hAnsi="宋体" w:eastAsia="宋体"/>
          <w:sz w:val="24"/>
          <w:szCs w:val="24"/>
        </w:rPr>
      </w:pPr>
    </w:p>
    <w:p>
      <w:pPr>
        <w:rPr>
          <w:rFonts w:ascii="宋体" w:hAnsi="宋体" w:eastAsia="宋体"/>
          <w:sz w:val="24"/>
          <w:szCs w:val="24"/>
        </w:rPr>
      </w:pPr>
    </w:p>
    <w:p>
      <w:pPr>
        <w:rPr>
          <w:rFonts w:ascii="宋体" w:hAnsi="宋体" w:eastAsia="宋体"/>
          <w:sz w:val="24"/>
          <w:szCs w:val="24"/>
        </w:rPr>
      </w:pPr>
    </w:p>
    <w:p>
      <w:pPr>
        <w:rPr>
          <w:rFonts w:ascii="宋体" w:hAnsi="宋体" w:eastAsia="宋体"/>
          <w:sz w:val="24"/>
          <w:szCs w:val="24"/>
        </w:rPr>
      </w:pPr>
    </w:p>
    <w:p>
      <w:pPr>
        <w:rPr>
          <w:rFonts w:ascii="宋体" w:hAnsi="宋体" w:eastAsia="宋体"/>
          <w:sz w:val="24"/>
          <w:szCs w:val="24"/>
        </w:rPr>
      </w:pPr>
    </w:p>
    <w:p>
      <w:pPr>
        <w:rPr>
          <w:rFonts w:ascii="宋体" w:hAnsi="宋体" w:eastAsia="宋体"/>
          <w:sz w:val="24"/>
          <w:szCs w:val="24"/>
        </w:rPr>
      </w:pPr>
    </w:p>
    <w:p>
      <w:pPr>
        <w:rPr>
          <w:rFonts w:ascii="宋体" w:hAnsi="宋体" w:eastAsia="宋体"/>
          <w:sz w:val="24"/>
          <w:szCs w:val="24"/>
        </w:rPr>
      </w:pPr>
    </w:p>
    <w:p>
      <w:pPr>
        <w:rPr>
          <w:rFonts w:ascii="宋体" w:hAnsi="宋体" w:eastAsia="宋体"/>
          <w:sz w:val="24"/>
          <w:szCs w:val="24"/>
        </w:rPr>
      </w:pPr>
    </w:p>
    <w:p>
      <w:pPr>
        <w:rPr>
          <w:rFonts w:ascii="宋体" w:hAnsi="宋体" w:eastAsia="宋体"/>
          <w:sz w:val="24"/>
          <w:szCs w:val="24"/>
        </w:rPr>
      </w:pPr>
    </w:p>
    <w:p>
      <w:pPr>
        <w:rPr>
          <w:rFonts w:ascii="宋体" w:hAnsi="宋体" w:eastAsia="宋体"/>
          <w:sz w:val="24"/>
          <w:szCs w:val="24"/>
        </w:rPr>
      </w:pPr>
    </w:p>
    <w:p>
      <w:pPr>
        <w:rPr>
          <w:rFonts w:ascii="宋体" w:hAnsi="宋体" w:eastAsia="宋体"/>
          <w:sz w:val="24"/>
          <w:szCs w:val="24"/>
        </w:rPr>
      </w:pPr>
    </w:p>
    <w:p>
      <w:pPr>
        <w:rPr>
          <w:rFonts w:ascii="宋体" w:hAnsi="宋体" w:eastAsia="宋体"/>
          <w:sz w:val="24"/>
          <w:szCs w:val="24"/>
        </w:rPr>
      </w:pPr>
    </w:p>
    <w:p>
      <w:pPr>
        <w:rPr>
          <w:rFonts w:ascii="宋体" w:hAnsi="宋体" w:eastAsia="宋体"/>
          <w:sz w:val="24"/>
          <w:szCs w:val="24"/>
        </w:rPr>
      </w:pPr>
    </w:p>
    <w:p>
      <w:pPr>
        <w:rPr>
          <w:rFonts w:ascii="宋体" w:hAnsi="宋体" w:eastAsia="宋体"/>
          <w:sz w:val="24"/>
          <w:szCs w:val="24"/>
        </w:rPr>
      </w:pPr>
    </w:p>
    <w:p>
      <w:pPr>
        <w:rPr>
          <w:rFonts w:ascii="宋体" w:hAnsi="宋体" w:eastAsia="宋体"/>
          <w:sz w:val="24"/>
          <w:szCs w:val="24"/>
        </w:rPr>
      </w:pPr>
    </w:p>
    <w:p>
      <w:pPr>
        <w:rPr>
          <w:rFonts w:ascii="宋体" w:hAnsi="宋体" w:eastAsia="宋体"/>
          <w:sz w:val="24"/>
          <w:szCs w:val="24"/>
        </w:rPr>
      </w:pPr>
    </w:p>
    <w:p>
      <w:pPr>
        <w:rPr>
          <w:rFonts w:ascii="宋体" w:hAnsi="宋体" w:eastAsia="宋体"/>
          <w:sz w:val="24"/>
          <w:szCs w:val="24"/>
        </w:rPr>
      </w:pPr>
    </w:p>
    <w:p>
      <w:pPr>
        <w:rPr>
          <w:rFonts w:ascii="宋体" w:hAnsi="宋体" w:eastAsia="宋体"/>
          <w:sz w:val="24"/>
          <w:szCs w:val="24"/>
        </w:rPr>
      </w:pPr>
    </w:p>
    <w:p>
      <w:pPr>
        <w:rPr>
          <w:rFonts w:ascii="宋体" w:hAnsi="宋体" w:eastAsia="宋体"/>
          <w:sz w:val="24"/>
          <w:szCs w:val="24"/>
        </w:rPr>
      </w:pPr>
    </w:p>
    <w:p>
      <w:pPr>
        <w:rPr>
          <w:rFonts w:ascii="宋体" w:hAnsi="宋体" w:eastAsia="宋体"/>
          <w:sz w:val="24"/>
          <w:szCs w:val="24"/>
        </w:rPr>
      </w:pPr>
    </w:p>
    <w:p>
      <w:pPr>
        <w:rPr>
          <w:rFonts w:ascii="宋体" w:hAnsi="宋体" w:eastAsia="宋体"/>
          <w:sz w:val="24"/>
          <w:szCs w:val="24"/>
        </w:rPr>
      </w:pPr>
    </w:p>
    <w:p>
      <w:pPr>
        <w:rPr>
          <w:rFonts w:ascii="宋体" w:hAnsi="宋体" w:eastAsia="宋体"/>
          <w:sz w:val="24"/>
          <w:szCs w:val="24"/>
        </w:rPr>
      </w:pPr>
    </w:p>
    <w:p>
      <w:pPr>
        <w:rPr>
          <w:rFonts w:ascii="宋体" w:hAnsi="宋体" w:eastAsia="宋体"/>
          <w:sz w:val="24"/>
          <w:szCs w:val="24"/>
        </w:rPr>
      </w:pPr>
    </w:p>
    <w:bookmarkEnd w:id="9"/>
    <w:p>
      <w:pPr>
        <w:widowControl/>
        <w:spacing w:line="440" w:lineRule="exact"/>
        <w:jc w:val="center"/>
        <w:rPr>
          <w:rFonts w:hint="eastAsia" w:ascii="Times New Roman" w:hAnsi="Times New Roman" w:eastAsia="楷体_GB2312" w:cs="Times New Roman"/>
          <w:bCs/>
          <w:color w:val="000000"/>
          <w:szCs w:val="21"/>
        </w:rPr>
      </w:pPr>
    </w:p>
    <w:p>
      <w:pPr>
        <w:widowControl/>
        <w:spacing w:line="440" w:lineRule="exact"/>
        <w:jc w:val="center"/>
        <w:rPr>
          <w:rFonts w:hint="eastAsia" w:ascii="Times New Roman" w:hAnsi="Times New Roman" w:eastAsia="楷体_GB2312" w:cs="Times New Roman"/>
          <w:bCs/>
          <w:color w:val="000000"/>
          <w:szCs w:val="21"/>
        </w:rPr>
      </w:pPr>
    </w:p>
    <w:p>
      <w:pPr>
        <w:widowControl/>
        <w:spacing w:line="440" w:lineRule="exact"/>
        <w:jc w:val="center"/>
        <w:rPr>
          <w:rFonts w:hint="eastAsia" w:ascii="Times New Roman" w:hAnsi="Times New Roman" w:eastAsia="楷体_GB2312" w:cs="Times New Roman"/>
          <w:bCs/>
          <w:color w:val="000000"/>
          <w:szCs w:val="21"/>
        </w:rPr>
      </w:pPr>
    </w:p>
    <w:p>
      <w:pPr>
        <w:widowControl/>
        <w:spacing w:line="440" w:lineRule="exact"/>
        <w:jc w:val="center"/>
        <w:rPr>
          <w:rFonts w:hint="eastAsia" w:ascii="Times New Roman" w:hAnsi="Times New Roman" w:eastAsia="楷体_GB2312" w:cs="Times New Roman"/>
          <w:bCs/>
          <w:color w:val="000000"/>
          <w:szCs w:val="21"/>
        </w:rPr>
      </w:pPr>
    </w:p>
    <w:p>
      <w:pPr>
        <w:widowControl/>
        <w:spacing w:line="440" w:lineRule="exact"/>
        <w:jc w:val="center"/>
        <w:rPr>
          <w:rFonts w:hint="eastAsia" w:ascii="Times New Roman" w:hAnsi="Times New Roman" w:eastAsia="楷体_GB2312" w:cs="Times New Roman"/>
          <w:bCs/>
          <w:color w:val="000000"/>
          <w:szCs w:val="21"/>
        </w:rPr>
      </w:pPr>
    </w:p>
    <w:p>
      <w:pPr>
        <w:widowControl/>
        <w:spacing w:line="440" w:lineRule="exact"/>
        <w:jc w:val="center"/>
        <w:rPr>
          <w:rFonts w:hint="eastAsia" w:ascii="Times New Roman" w:hAnsi="Times New Roman" w:eastAsia="楷体_GB2312" w:cs="Times New Roman"/>
          <w:bCs/>
          <w:color w:val="000000"/>
          <w:szCs w:val="21"/>
        </w:rPr>
      </w:pPr>
    </w:p>
    <w:p>
      <w:pPr>
        <w:widowControl/>
        <w:spacing w:line="440" w:lineRule="exact"/>
        <w:jc w:val="center"/>
        <w:rPr>
          <w:rFonts w:hint="eastAsia" w:ascii="Times New Roman" w:hAnsi="Times New Roman" w:eastAsia="楷体_GB2312" w:cs="Times New Roman"/>
          <w:bCs/>
          <w:color w:val="000000"/>
          <w:szCs w:val="21"/>
        </w:rPr>
      </w:pPr>
    </w:p>
    <w:p>
      <w:pPr>
        <w:widowControl/>
        <w:spacing w:line="440" w:lineRule="exact"/>
        <w:jc w:val="both"/>
        <w:rPr>
          <w:rFonts w:asciiTheme="minorEastAsia" w:hAnsiTheme="minorEastAsia"/>
          <w:sz w:val="28"/>
          <w:szCs w:val="28"/>
        </w:rPr>
      </w:pPr>
    </w:p>
    <w:p>
      <w:pPr>
        <w:widowControl/>
        <w:spacing w:line="440" w:lineRule="exact"/>
        <w:jc w:val="both"/>
        <w:rPr>
          <w:rFonts w:asciiTheme="minorEastAsia" w:hAnsiTheme="minorEastAsia"/>
          <w:sz w:val="28"/>
          <w:szCs w:val="28"/>
        </w:rPr>
      </w:pPr>
    </w:p>
    <w:p>
      <w:pPr>
        <w:spacing w:line="440" w:lineRule="exact"/>
        <w:jc w:val="center"/>
        <w:rPr>
          <w:rFonts w:asciiTheme="minorEastAsia" w:hAnsiTheme="minorEastAsia"/>
          <w:sz w:val="28"/>
          <w:szCs w:val="28"/>
        </w:rPr>
      </w:pPr>
      <w:r>
        <w:rPr>
          <w:rFonts w:hint="eastAsia" w:ascii="Times New Roman" w:hAnsi="Times New Roman" w:eastAsia="楷体_GB2312" w:cs="Times New Roman"/>
          <w:bCs/>
          <w:color w:val="000000"/>
          <w:szCs w:val="21"/>
        </w:rPr>
        <w:t>表</w:t>
      </w:r>
      <w:r>
        <w:rPr>
          <w:rFonts w:hint="eastAsia" w:ascii="Times New Roman" w:hAnsi="Times New Roman" w:eastAsia="楷体_GB2312" w:cs="Times New Roman"/>
          <w:bCs/>
          <w:color w:val="000000"/>
          <w:szCs w:val="21"/>
          <w:lang w:val="en-US" w:eastAsia="zh-CN"/>
        </w:rPr>
        <w:t>6</w:t>
      </w:r>
      <w:r>
        <w:rPr>
          <w:rFonts w:hint="eastAsia" w:ascii="Times New Roman" w:hAnsi="Times New Roman" w:eastAsia="楷体_GB2312" w:cs="Times New Roman"/>
          <w:bCs/>
          <w:color w:val="000000"/>
          <w:szCs w:val="21"/>
        </w:rPr>
        <w:t xml:space="preserve"> 媒体宣传报道统计</w:t>
      </w:r>
    </w:p>
    <w:p>
      <w:pPr>
        <w:pStyle w:val="2"/>
        <w:spacing w:before="200" w:after="200" w:line="360" w:lineRule="auto"/>
        <w:rPr>
          <w:rFonts w:hint="eastAsia" w:ascii="黑体" w:hAnsi="黑体" w:eastAsia="黑体" w:cs="黑体"/>
          <w:b w:val="0"/>
          <w:bCs w:val="0"/>
          <w:sz w:val="28"/>
          <w:szCs w:val="28"/>
        </w:rPr>
      </w:pPr>
      <w:bookmarkStart w:id="10" w:name="_Toc3666"/>
      <w:r>
        <w:rPr>
          <w:rFonts w:hint="eastAsia" w:ascii="黑体" w:hAnsi="黑体" w:eastAsia="黑体" w:cs="黑体"/>
          <w:b w:val="0"/>
          <w:bCs w:val="0"/>
          <w:sz w:val="28"/>
          <w:szCs w:val="28"/>
        </w:rPr>
        <w:t>五、成果的创新点</w:t>
      </w:r>
      <w:bookmarkEnd w:id="10"/>
    </w:p>
    <w:p>
      <w:pPr>
        <w:spacing w:line="440" w:lineRule="exact"/>
        <w:ind w:firstLine="482" w:firstLineChars="200"/>
        <w:jc w:val="left"/>
        <w:rPr>
          <w:rFonts w:hint="eastAsia" w:ascii="楷体_GB2312" w:hAnsi="楷体_GB2312" w:eastAsia="楷体_GB2312" w:cs="楷体_GB2312"/>
          <w:b/>
          <w:bCs/>
          <w:sz w:val="24"/>
          <w:szCs w:val="24"/>
        </w:rPr>
      </w:pPr>
      <w:r>
        <w:rPr>
          <w:rFonts w:hint="eastAsia" w:ascii="楷体_GB2312" w:hAnsi="楷体_GB2312" w:eastAsia="楷体_GB2312" w:cs="楷体_GB2312"/>
          <w:b/>
          <w:bCs/>
          <w:sz w:val="24"/>
          <w:szCs w:val="24"/>
        </w:rPr>
        <w:t>（一）非遗竹编专业育人理念创新。</w:t>
      </w:r>
    </w:p>
    <w:p>
      <w:pPr>
        <w:spacing w:line="440" w:lineRule="exact"/>
        <w:ind w:firstLine="480" w:firstLineChars="200"/>
        <w:rPr>
          <w:rFonts w:ascii="Times New Roman" w:hAnsi="Times New Roman" w:eastAsia="宋体" w:cs="Times New Roman"/>
          <w:sz w:val="24"/>
          <w:szCs w:val="24"/>
        </w:rPr>
      </w:pPr>
      <w:r>
        <w:rPr>
          <w:rFonts w:hint="eastAsia" w:ascii="Times New Roman" w:hAnsi="Times New Roman" w:eastAsia="宋体" w:cs="Times New Roman"/>
          <w:sz w:val="24"/>
          <w:szCs w:val="24"/>
        </w:rPr>
        <w:t>学校秉持“为人为匠达天下”校训，立足非遗传承，瞄准产业需求，坚持育人为本，聚焦学生发展，围绕人文素质、专业技能、专业精神三个维度，创新提出非遗特色专业“三三”育人理念，从教师修为、学生成长和育人目标三方面进行规范和指引，着力培养师生品德、素养和技术技能，激发师生发展潜能，实现师生共育、共进。</w:t>
      </w:r>
      <w:bookmarkStart w:id="11" w:name="_Toc80093481"/>
    </w:p>
    <w:p>
      <w:pPr>
        <w:spacing w:line="440" w:lineRule="exact"/>
        <w:ind w:firstLine="482" w:firstLineChars="200"/>
        <w:jc w:val="left"/>
        <w:rPr>
          <w:rFonts w:hint="eastAsia" w:ascii="楷体_GB2312" w:hAnsi="楷体_GB2312" w:eastAsia="楷体_GB2312" w:cs="楷体_GB2312"/>
          <w:b/>
          <w:bCs/>
          <w:sz w:val="24"/>
          <w:szCs w:val="24"/>
        </w:rPr>
      </w:pPr>
      <w:r>
        <w:rPr>
          <w:rFonts w:hint="eastAsia" w:ascii="楷体_GB2312" w:hAnsi="楷体_GB2312" w:eastAsia="楷体_GB2312" w:cs="楷体_GB2312"/>
          <w:b/>
          <w:bCs/>
          <w:sz w:val="24"/>
          <w:szCs w:val="24"/>
        </w:rPr>
        <w:t>（二）非遗竹编专业特色内涵创新。</w:t>
      </w:r>
    </w:p>
    <w:p>
      <w:pPr>
        <w:spacing w:line="440" w:lineRule="exact"/>
        <w:ind w:firstLine="480" w:firstLineChars="200"/>
        <w:rPr>
          <w:rFonts w:ascii="Times New Roman" w:hAnsi="Times New Roman" w:eastAsia="宋体" w:cs="Times New Roman"/>
          <w:sz w:val="24"/>
          <w:szCs w:val="24"/>
        </w:rPr>
      </w:pPr>
      <w:r>
        <w:rPr>
          <w:rFonts w:hint="eastAsia" w:ascii="Times New Roman" w:hAnsi="Times New Roman" w:eastAsia="宋体" w:cs="Times New Roman"/>
          <w:sz w:val="24"/>
          <w:szCs w:val="24"/>
        </w:rPr>
        <w:t>经过34年砥砺探索，市级课题研究，现代学徒制试点及省特色专业创建等专题探究，在专家学者指导下，提出专业特色建设应立足传和承两个基点，着力打造专业“文化特色、传承特色、育人特色和课程特色”。首创特色“四内涵”，丰富和发展了非遗专业特色建设内涵。</w:t>
      </w:r>
    </w:p>
    <w:p>
      <w:pPr>
        <w:spacing w:line="440" w:lineRule="exact"/>
        <w:ind w:firstLine="482" w:firstLineChars="200"/>
        <w:jc w:val="left"/>
        <w:rPr>
          <w:rFonts w:hint="eastAsia" w:ascii="楷体_GB2312" w:hAnsi="楷体_GB2312" w:eastAsia="楷体_GB2312" w:cs="楷体_GB2312"/>
          <w:b/>
          <w:bCs/>
          <w:sz w:val="24"/>
          <w:szCs w:val="24"/>
        </w:rPr>
      </w:pPr>
      <w:r>
        <w:rPr>
          <w:rFonts w:hint="eastAsia" w:ascii="楷体_GB2312" w:hAnsi="楷体_GB2312" w:eastAsia="楷体_GB2312" w:cs="楷体_GB2312"/>
          <w:b/>
          <w:bCs/>
          <w:sz w:val="24"/>
          <w:szCs w:val="24"/>
        </w:rPr>
        <w:t>（三）非遗竹编专业教学模式创新。</w:t>
      </w:r>
    </w:p>
    <w:p>
      <w:pPr>
        <w:spacing w:line="440" w:lineRule="exact"/>
        <w:ind w:firstLine="480" w:firstLineChars="200"/>
        <w:rPr>
          <w:rFonts w:ascii="Times New Roman" w:hAnsi="Times New Roman"/>
          <w:sz w:val="24"/>
          <w:szCs w:val="24"/>
        </w:rPr>
      </w:pPr>
      <w:r>
        <w:rPr>
          <w:rFonts w:hint="eastAsia"/>
          <w:sz w:val="24"/>
          <w:szCs w:val="24"/>
        </w:rPr>
        <w:t>学校</w:t>
      </w:r>
      <w:r>
        <w:rPr>
          <w:sz w:val="24"/>
          <w:szCs w:val="24"/>
        </w:rPr>
        <w:t>不断优化教学内容</w:t>
      </w:r>
      <w:r>
        <w:rPr>
          <w:rFonts w:hint="eastAsia"/>
          <w:sz w:val="24"/>
          <w:szCs w:val="24"/>
        </w:rPr>
        <w:t>，持续</w:t>
      </w:r>
      <w:r>
        <w:rPr>
          <w:sz w:val="24"/>
          <w:szCs w:val="24"/>
        </w:rPr>
        <w:t>深化产教融合，</w:t>
      </w:r>
      <w:r>
        <w:rPr>
          <w:rFonts w:hint="eastAsia"/>
          <w:sz w:val="24"/>
          <w:szCs w:val="24"/>
        </w:rPr>
        <w:t>构建了</w:t>
      </w:r>
      <w:r>
        <w:rPr>
          <w:sz w:val="24"/>
          <w:szCs w:val="24"/>
        </w:rPr>
        <w:t>“三融三进三课堂”教学模式，实现了</w:t>
      </w:r>
      <w:r>
        <w:rPr>
          <w:rFonts w:hint="eastAsia"/>
          <w:sz w:val="24"/>
          <w:szCs w:val="24"/>
        </w:rPr>
        <w:t>竹编专业</w:t>
      </w:r>
      <w:r>
        <w:rPr>
          <w:sz w:val="24"/>
          <w:szCs w:val="24"/>
        </w:rPr>
        <w:t>教学模式创新。</w:t>
      </w:r>
      <w:r>
        <w:rPr>
          <w:rFonts w:hint="eastAsia"/>
          <w:kern w:val="0"/>
          <w:sz w:val="24"/>
          <w:szCs w:val="24"/>
        </w:rPr>
        <w:t>学校立足非遗“传”和“承”两个基点，尊重非遗特性、大师技术和课程属性，非遗资源禀赋与课程开发有机衔接，建立了竹编专业“三三五五”课程体系，编写专业教材11册，建成竹编专业课程资源库，优化了竹编专业教学内容</w:t>
      </w:r>
      <w:r>
        <w:rPr>
          <w:rFonts w:hint="eastAsia" w:ascii="Times New Roman" w:hAnsi="Times New Roman" w:eastAsia="宋体" w:cs="Times New Roman"/>
          <w:kern w:val="0"/>
          <w:sz w:val="24"/>
          <w:szCs w:val="24"/>
        </w:rPr>
        <w:t>，</w:t>
      </w:r>
      <w:r>
        <w:rPr>
          <w:rFonts w:ascii="Times New Roman" w:hAnsi="Times New Roman" w:eastAsia="宋体" w:cs="Times New Roman"/>
          <w:kern w:val="0"/>
          <w:sz w:val="24"/>
          <w:szCs w:val="24"/>
        </w:rPr>
        <w:t>形成</w:t>
      </w:r>
      <w:r>
        <w:rPr>
          <w:rFonts w:hint="eastAsia" w:ascii="Times New Roman" w:hAnsi="Times New Roman" w:eastAsia="宋体" w:cs="Times New Roman"/>
          <w:kern w:val="0"/>
          <w:sz w:val="24"/>
          <w:szCs w:val="24"/>
        </w:rPr>
        <w:t>了面向社会的“模块化”技能培训课程和面向学生的“系统化”学历教育课程。</w:t>
      </w:r>
    </w:p>
    <w:p>
      <w:pPr>
        <w:spacing w:line="440" w:lineRule="exact"/>
        <w:ind w:firstLine="482" w:firstLineChars="200"/>
        <w:jc w:val="left"/>
        <w:rPr>
          <w:rFonts w:hint="eastAsia" w:ascii="楷体_GB2312" w:hAnsi="楷体_GB2312" w:eastAsia="楷体_GB2312" w:cs="楷体_GB2312"/>
          <w:b/>
          <w:bCs/>
          <w:sz w:val="24"/>
          <w:szCs w:val="24"/>
        </w:rPr>
      </w:pPr>
      <w:r>
        <w:rPr>
          <w:rFonts w:hint="eastAsia" w:ascii="楷体_GB2312" w:hAnsi="楷体_GB2312" w:eastAsia="楷体_GB2312" w:cs="楷体_GB2312"/>
          <w:b/>
          <w:bCs/>
          <w:sz w:val="24"/>
          <w:szCs w:val="24"/>
        </w:rPr>
        <w:t>（四）非遗竹编专业育人模式创新</w:t>
      </w:r>
      <w:bookmarkEnd w:id="11"/>
      <w:r>
        <w:rPr>
          <w:rFonts w:hint="eastAsia" w:ascii="楷体_GB2312" w:hAnsi="楷体_GB2312" w:eastAsia="楷体_GB2312" w:cs="楷体_GB2312"/>
          <w:b/>
          <w:bCs/>
          <w:sz w:val="24"/>
          <w:szCs w:val="24"/>
        </w:rPr>
        <w:t>。</w:t>
      </w:r>
    </w:p>
    <w:p>
      <w:pPr>
        <w:widowControl/>
        <w:spacing w:line="440" w:lineRule="exact"/>
        <w:ind w:firstLine="480" w:firstLineChars="200"/>
        <w:jc w:val="left"/>
        <w:rPr>
          <w:rFonts w:ascii="Times New Roman" w:hAnsi="Times New Roman" w:eastAsia="宋体" w:cs="Times New Roman"/>
          <w:kern w:val="0"/>
          <w:sz w:val="24"/>
          <w:szCs w:val="24"/>
        </w:rPr>
      </w:pPr>
      <w:r>
        <w:rPr>
          <w:rFonts w:hint="eastAsia"/>
          <w:kern w:val="0"/>
          <w:sz w:val="24"/>
          <w:szCs w:val="24"/>
        </w:rPr>
        <w:t>通过</w:t>
      </w:r>
      <w:r>
        <w:rPr>
          <w:kern w:val="0"/>
          <w:sz w:val="24"/>
          <w:szCs w:val="24"/>
        </w:rPr>
        <w:t>学校教育传承</w:t>
      </w:r>
      <w:r>
        <w:rPr>
          <w:rFonts w:hint="eastAsia"/>
          <w:kern w:val="0"/>
          <w:sz w:val="24"/>
          <w:szCs w:val="24"/>
        </w:rPr>
        <w:t>非遗文化</w:t>
      </w:r>
      <w:r>
        <w:rPr>
          <w:kern w:val="0"/>
          <w:sz w:val="24"/>
          <w:szCs w:val="24"/>
        </w:rPr>
        <w:t>，是建设</w:t>
      </w:r>
      <w:r>
        <w:rPr>
          <w:rFonts w:hint="eastAsia"/>
          <w:kern w:val="0"/>
          <w:sz w:val="24"/>
          <w:szCs w:val="24"/>
        </w:rPr>
        <w:t>竹编</w:t>
      </w:r>
      <w:r>
        <w:rPr>
          <w:kern w:val="0"/>
          <w:sz w:val="24"/>
          <w:szCs w:val="24"/>
        </w:rPr>
        <w:t>专业的动力</w:t>
      </w:r>
      <w:r>
        <w:rPr>
          <w:rFonts w:hint="eastAsia"/>
          <w:kern w:val="0"/>
          <w:sz w:val="24"/>
          <w:szCs w:val="24"/>
        </w:rPr>
        <w:t>之一</w:t>
      </w:r>
      <w:r>
        <w:rPr>
          <w:kern w:val="0"/>
          <w:sz w:val="24"/>
          <w:szCs w:val="24"/>
        </w:rPr>
        <w:t>。</w:t>
      </w:r>
      <w:r>
        <w:rPr>
          <w:rFonts w:hint="eastAsia"/>
          <w:sz w:val="24"/>
          <w:szCs w:val="24"/>
        </w:rPr>
        <w:t>青神竹编独具的传统高超技艺和特有的精神文化价值，使其传承具</w:t>
      </w:r>
      <w:r>
        <w:rPr>
          <w:rFonts w:hint="eastAsia"/>
          <w:kern w:val="0"/>
          <w:sz w:val="24"/>
          <w:szCs w:val="24"/>
        </w:rPr>
        <w:t>有独特的要求。竹编专业育人模式，因坚持“传承非遗”这一价值追寻，而呈献鲜明特色。</w:t>
      </w:r>
      <w:r>
        <w:rPr>
          <w:rFonts w:hint="eastAsia"/>
          <w:sz w:val="24"/>
          <w:szCs w:val="24"/>
        </w:rPr>
        <w:t>在竹编专业初创探索、育人模式研究实践和现代学徒制试点中，以“三三”理念为指引，围绕育“三心”学生、达“三人”目标，坚持校企合作“双主体”育人，在传统的“师徒相授”基础之上，提出了基于学校教育的非遗竹编专业“五字”活态育人模式，实现了专业育人模式创新。</w:t>
      </w:r>
    </w:p>
    <w:sectPr>
      <w:footerReference r:id="rId5" w:type="default"/>
      <w:pgSz w:w="11906" w:h="16838"/>
      <w:pgMar w:top="1440" w:right="1800" w:bottom="1440" w:left="1800" w:header="851" w:footer="992" w:gutter="0"/>
      <w:pgNumType w:fmt="numberInDash" w:start="1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1"/>
    <w:family w:val="auto"/>
    <w:pitch w:val="default"/>
    <w:sig w:usb0="E0002AFF" w:usb1="C0007841" w:usb2="00000009" w:usb3="00000000" w:csb0="400001FF" w:csb1="FFFF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方正仿宋简体">
    <w:panose1 w:val="03000509000000000000"/>
    <w:charset w:val="86"/>
    <w:family w:val="auto"/>
    <w:pitch w:val="default"/>
    <w:sig w:usb0="00000001" w:usb1="080E0000" w:usb2="00000000" w:usb3="00000000" w:csb0="00040000" w:csb1="00000000"/>
  </w:font>
  <w:font w:name="方正小标宋简体">
    <w:altName w:val="Arial Unicode MS"/>
    <w:panose1 w:val="02010601030101010101"/>
    <w:charset w:val="86"/>
    <w:family w:val="auto"/>
    <w:pitch w:val="default"/>
    <w:sig w:usb0="00000000" w:usb1="00000000" w:usb2="00000000" w:usb3="00000000" w:csb0="00040000" w:csb1="00000000"/>
  </w:font>
  <w:font w:name="Arial Unicode MS">
    <w:panose1 w:val="020B0604020202020204"/>
    <w:charset w:val="86"/>
    <w:family w:val="auto"/>
    <w:pitch w:val="default"/>
    <w:sig w:usb0="FFFFFFFF" w:usb1="E9FFFFFF" w:usb2="0000003F" w:usb3="00000000" w:csb0="603F01FF" w:csb1="FFFF0000"/>
  </w:font>
  <w:font w:name="楷体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方正楷体简体">
    <w:altName w:val="楷体_GB2312"/>
    <w:panose1 w:val="02010601030101010101"/>
    <w:charset w:val="86"/>
    <w:family w:val="auto"/>
    <w:pitch w:val="default"/>
    <w:sig w:usb0="00000000" w:usb1="00000000" w:usb2="00000000" w:usb3="00000000" w:csb0="00040000" w:csb1="00000000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华文行楷">
    <w:panose1 w:val="02010800040101010101"/>
    <w:charset w:val="86"/>
    <w:family w:val="auto"/>
    <w:pitch w:val="default"/>
    <w:sig w:usb0="00000001" w:usb1="080F0000" w:usb2="00000000" w:usb3="00000000" w:csb0="00040000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华文隶书">
    <w:panose1 w:val="02010800040101010101"/>
    <w:charset w:val="86"/>
    <w:family w:val="auto"/>
    <w:pitch w:val="default"/>
    <w:sig w:usb0="00000001" w:usb1="080F0000" w:usb2="00000000" w:usb3="00000000" w:csb0="00040000" w:csb1="00000000"/>
  </w:font>
  <w:font w:name="华文彩云">
    <w:panose1 w:val="02010800040101010101"/>
    <w:charset w:val="86"/>
    <w:family w:val="auto"/>
    <w:pitch w:val="default"/>
    <w:sig w:usb0="00000001" w:usb1="080F0000" w:usb2="00000000" w:usb3="00000000" w:csb0="00040000" w:csb1="00000000"/>
  </w:font>
  <w:font w:name="华文新魏">
    <w:panose1 w:val="02010800040101010101"/>
    <w:charset w:val="86"/>
    <w:family w:val="auto"/>
    <w:pitch w:val="default"/>
    <w:sig w:usb0="00000001" w:usb1="080F0000" w:usb2="00000000" w:usb3="00000000" w:csb0="0004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923075965"/>
      <w:showingPlcHdr/>
    </w:sdtPr>
    <w:sdtContent>
      <w:p>
        <w:pPr>
          <w:pStyle w:val="8"/>
          <w:jc w:val="center"/>
        </w:pPr>
        <w:r>
          <w:t xml:space="preserve">     </w:t>
        </w:r>
      </w:p>
    </w:sdtContent>
  </w:sdt>
  <w:p>
    <w:pPr>
      <w:pStyle w:val="8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8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8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33" name="文本框 3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8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8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1D4C4F82"/>
    <w:multiLevelType w:val="singleLevel"/>
    <w:tmpl w:val="1D4C4F82"/>
    <w:lvl w:ilvl="0" w:tentative="0">
      <w:start w:val="1"/>
      <w:numFmt w:val="decimal"/>
      <w:suff w:val="nothing"/>
      <w:lvlText w:val="（%1）"/>
      <w:lvlJc w:val="left"/>
    </w:lvl>
  </w:abstractNum>
  <w:abstractNum w:abstractNumId="1">
    <w:nsid w:val="37453C85"/>
    <w:multiLevelType w:val="singleLevel"/>
    <w:tmpl w:val="37453C85"/>
    <w:lvl w:ilvl="0" w:tentative="0">
      <w:start w:val="3"/>
      <w:numFmt w:val="decimal"/>
      <w:lvlText w:val="%1."/>
      <w:lvlJc w:val="left"/>
      <w:pPr>
        <w:tabs>
          <w:tab w:val="left" w:pos="312"/>
        </w:tabs>
      </w:pPr>
    </w:lvl>
  </w:abstractNum>
  <w:abstractNum w:abstractNumId="2">
    <w:nsid w:val="692D7364"/>
    <w:multiLevelType w:val="singleLevel"/>
    <w:tmpl w:val="692D7364"/>
    <w:lvl w:ilvl="0" w:tentative="0">
      <w:start w:val="1"/>
      <w:numFmt w:val="decimal"/>
      <w:suff w:val="space"/>
      <w:lvlText w:val="%1."/>
      <w:lvlJc w:val="left"/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1"/>
  <w:bordersDoNotSurroundFooter w:val="1"/>
  <w:documentProtection w:enforcement="0"/>
  <w:defaultTabStop w:val="420"/>
  <w:drawingGridHorizontalSpacing w:val="105"/>
  <w:drawingGridVerticalSpacing w:val="156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33963"/>
    <w:rsid w:val="00000D33"/>
    <w:rsid w:val="00000DB6"/>
    <w:rsid w:val="00011C7B"/>
    <w:rsid w:val="000243A1"/>
    <w:rsid w:val="00030E22"/>
    <w:rsid w:val="00032971"/>
    <w:rsid w:val="00045450"/>
    <w:rsid w:val="00046175"/>
    <w:rsid w:val="00056263"/>
    <w:rsid w:val="00056359"/>
    <w:rsid w:val="00061D99"/>
    <w:rsid w:val="00065758"/>
    <w:rsid w:val="00071B33"/>
    <w:rsid w:val="00074209"/>
    <w:rsid w:val="00080B4C"/>
    <w:rsid w:val="00084342"/>
    <w:rsid w:val="000848B4"/>
    <w:rsid w:val="000932BC"/>
    <w:rsid w:val="000945A9"/>
    <w:rsid w:val="000A1D70"/>
    <w:rsid w:val="000A6BB8"/>
    <w:rsid w:val="000A745A"/>
    <w:rsid w:val="000C27C5"/>
    <w:rsid w:val="000C7DEF"/>
    <w:rsid w:val="000D70C0"/>
    <w:rsid w:val="000E47B0"/>
    <w:rsid w:val="000F183F"/>
    <w:rsid w:val="001114BA"/>
    <w:rsid w:val="00111CA7"/>
    <w:rsid w:val="00112E70"/>
    <w:rsid w:val="00124DA6"/>
    <w:rsid w:val="0014230E"/>
    <w:rsid w:val="001423E9"/>
    <w:rsid w:val="00143165"/>
    <w:rsid w:val="00152226"/>
    <w:rsid w:val="00155102"/>
    <w:rsid w:val="001552A2"/>
    <w:rsid w:val="0016468D"/>
    <w:rsid w:val="00164725"/>
    <w:rsid w:val="00170548"/>
    <w:rsid w:val="00171DB9"/>
    <w:rsid w:val="00176139"/>
    <w:rsid w:val="001937DA"/>
    <w:rsid w:val="001A784E"/>
    <w:rsid w:val="001B548B"/>
    <w:rsid w:val="001E1CCA"/>
    <w:rsid w:val="001E782A"/>
    <w:rsid w:val="001F23D9"/>
    <w:rsid w:val="001F2DB2"/>
    <w:rsid w:val="00200982"/>
    <w:rsid w:val="0020760D"/>
    <w:rsid w:val="00213372"/>
    <w:rsid w:val="00214ABB"/>
    <w:rsid w:val="00215D5E"/>
    <w:rsid w:val="00221D72"/>
    <w:rsid w:val="002257F2"/>
    <w:rsid w:val="0024080A"/>
    <w:rsid w:val="00254B51"/>
    <w:rsid w:val="00255AAD"/>
    <w:rsid w:val="002614A7"/>
    <w:rsid w:val="00264F9F"/>
    <w:rsid w:val="002745DF"/>
    <w:rsid w:val="00287A96"/>
    <w:rsid w:val="00291DA3"/>
    <w:rsid w:val="002A283A"/>
    <w:rsid w:val="002A52F4"/>
    <w:rsid w:val="002B5229"/>
    <w:rsid w:val="002B55C7"/>
    <w:rsid w:val="002C1326"/>
    <w:rsid w:val="002C1CDA"/>
    <w:rsid w:val="002C1E4B"/>
    <w:rsid w:val="002C6FD4"/>
    <w:rsid w:val="002D7AF0"/>
    <w:rsid w:val="002E2EA4"/>
    <w:rsid w:val="002E63B5"/>
    <w:rsid w:val="002F2297"/>
    <w:rsid w:val="002F2B2F"/>
    <w:rsid w:val="002F665F"/>
    <w:rsid w:val="00300622"/>
    <w:rsid w:val="003009AC"/>
    <w:rsid w:val="0030121A"/>
    <w:rsid w:val="00302320"/>
    <w:rsid w:val="00303884"/>
    <w:rsid w:val="00306402"/>
    <w:rsid w:val="00307495"/>
    <w:rsid w:val="0031107A"/>
    <w:rsid w:val="003175DD"/>
    <w:rsid w:val="003243A2"/>
    <w:rsid w:val="0033109C"/>
    <w:rsid w:val="00334FB3"/>
    <w:rsid w:val="003411FA"/>
    <w:rsid w:val="00346CE1"/>
    <w:rsid w:val="00350C1A"/>
    <w:rsid w:val="00351C3F"/>
    <w:rsid w:val="00354F46"/>
    <w:rsid w:val="00362771"/>
    <w:rsid w:val="00366F80"/>
    <w:rsid w:val="00373E38"/>
    <w:rsid w:val="00391A6C"/>
    <w:rsid w:val="00392395"/>
    <w:rsid w:val="003A25E6"/>
    <w:rsid w:val="003A593D"/>
    <w:rsid w:val="003B28C6"/>
    <w:rsid w:val="003B7381"/>
    <w:rsid w:val="003C00CA"/>
    <w:rsid w:val="003C049C"/>
    <w:rsid w:val="003C0506"/>
    <w:rsid w:val="003C3CBB"/>
    <w:rsid w:val="003C53B1"/>
    <w:rsid w:val="003F0F85"/>
    <w:rsid w:val="0040484A"/>
    <w:rsid w:val="00413151"/>
    <w:rsid w:val="0041618B"/>
    <w:rsid w:val="00416DC5"/>
    <w:rsid w:val="0042373E"/>
    <w:rsid w:val="0043089E"/>
    <w:rsid w:val="00433D33"/>
    <w:rsid w:val="00435AAD"/>
    <w:rsid w:val="00445587"/>
    <w:rsid w:val="004477EF"/>
    <w:rsid w:val="00447CF3"/>
    <w:rsid w:val="00451CF3"/>
    <w:rsid w:val="00452BFA"/>
    <w:rsid w:val="00454AED"/>
    <w:rsid w:val="004613C7"/>
    <w:rsid w:val="00473368"/>
    <w:rsid w:val="00473DAF"/>
    <w:rsid w:val="00477BC6"/>
    <w:rsid w:val="00477EF9"/>
    <w:rsid w:val="004909EC"/>
    <w:rsid w:val="00495EFD"/>
    <w:rsid w:val="004A292E"/>
    <w:rsid w:val="004A3F0F"/>
    <w:rsid w:val="004A58DA"/>
    <w:rsid w:val="004A5F91"/>
    <w:rsid w:val="004A774A"/>
    <w:rsid w:val="004B01CD"/>
    <w:rsid w:val="004B0DFC"/>
    <w:rsid w:val="004B3B04"/>
    <w:rsid w:val="004B3F99"/>
    <w:rsid w:val="004B5D91"/>
    <w:rsid w:val="004D01FC"/>
    <w:rsid w:val="004D5245"/>
    <w:rsid w:val="004E73C3"/>
    <w:rsid w:val="004F03AB"/>
    <w:rsid w:val="004F2C57"/>
    <w:rsid w:val="004F4D7D"/>
    <w:rsid w:val="004F7241"/>
    <w:rsid w:val="00500623"/>
    <w:rsid w:val="0051289F"/>
    <w:rsid w:val="00513312"/>
    <w:rsid w:val="005173D7"/>
    <w:rsid w:val="005225A9"/>
    <w:rsid w:val="005229B2"/>
    <w:rsid w:val="00532906"/>
    <w:rsid w:val="00536634"/>
    <w:rsid w:val="00536AE1"/>
    <w:rsid w:val="00537538"/>
    <w:rsid w:val="00540AB5"/>
    <w:rsid w:val="00541D8E"/>
    <w:rsid w:val="00550148"/>
    <w:rsid w:val="00552678"/>
    <w:rsid w:val="00564139"/>
    <w:rsid w:val="00564C65"/>
    <w:rsid w:val="005651DA"/>
    <w:rsid w:val="00587432"/>
    <w:rsid w:val="0059355C"/>
    <w:rsid w:val="005A0058"/>
    <w:rsid w:val="005A436A"/>
    <w:rsid w:val="005B3DFC"/>
    <w:rsid w:val="005B59BB"/>
    <w:rsid w:val="005B69D9"/>
    <w:rsid w:val="005C15A4"/>
    <w:rsid w:val="005D33A7"/>
    <w:rsid w:val="005E718F"/>
    <w:rsid w:val="005F02BB"/>
    <w:rsid w:val="005F0E3E"/>
    <w:rsid w:val="005F55A0"/>
    <w:rsid w:val="0060301A"/>
    <w:rsid w:val="00603F40"/>
    <w:rsid w:val="00604B82"/>
    <w:rsid w:val="00610345"/>
    <w:rsid w:val="00611B4D"/>
    <w:rsid w:val="00611F0A"/>
    <w:rsid w:val="0061457A"/>
    <w:rsid w:val="006163C1"/>
    <w:rsid w:val="00625C60"/>
    <w:rsid w:val="00626ED5"/>
    <w:rsid w:val="00627EE9"/>
    <w:rsid w:val="00636C08"/>
    <w:rsid w:val="006555EA"/>
    <w:rsid w:val="006724B4"/>
    <w:rsid w:val="006725F0"/>
    <w:rsid w:val="006729A1"/>
    <w:rsid w:val="00673985"/>
    <w:rsid w:val="006758EB"/>
    <w:rsid w:val="00676424"/>
    <w:rsid w:val="006767E8"/>
    <w:rsid w:val="006771F8"/>
    <w:rsid w:val="0067725B"/>
    <w:rsid w:val="00677593"/>
    <w:rsid w:val="00683D59"/>
    <w:rsid w:val="006847F3"/>
    <w:rsid w:val="00687A57"/>
    <w:rsid w:val="00692E18"/>
    <w:rsid w:val="006A3F9F"/>
    <w:rsid w:val="006A49C0"/>
    <w:rsid w:val="006B0DA2"/>
    <w:rsid w:val="006C2FEA"/>
    <w:rsid w:val="006C3544"/>
    <w:rsid w:val="006C3B43"/>
    <w:rsid w:val="006D52E4"/>
    <w:rsid w:val="006E1026"/>
    <w:rsid w:val="006E45A5"/>
    <w:rsid w:val="006F07C8"/>
    <w:rsid w:val="006F223B"/>
    <w:rsid w:val="00700DF2"/>
    <w:rsid w:val="0070373C"/>
    <w:rsid w:val="007062BB"/>
    <w:rsid w:val="00715362"/>
    <w:rsid w:val="0072082F"/>
    <w:rsid w:val="00731BC0"/>
    <w:rsid w:val="00753B3C"/>
    <w:rsid w:val="0075460F"/>
    <w:rsid w:val="00770842"/>
    <w:rsid w:val="00775A78"/>
    <w:rsid w:val="0079142F"/>
    <w:rsid w:val="00793A37"/>
    <w:rsid w:val="00793B06"/>
    <w:rsid w:val="00795561"/>
    <w:rsid w:val="00797C31"/>
    <w:rsid w:val="007A0E06"/>
    <w:rsid w:val="007A5C0F"/>
    <w:rsid w:val="007B2058"/>
    <w:rsid w:val="007B45C2"/>
    <w:rsid w:val="007B6963"/>
    <w:rsid w:val="007C343E"/>
    <w:rsid w:val="007E25F2"/>
    <w:rsid w:val="007F0988"/>
    <w:rsid w:val="007F4367"/>
    <w:rsid w:val="007F44F0"/>
    <w:rsid w:val="00801521"/>
    <w:rsid w:val="00802C3D"/>
    <w:rsid w:val="008031A8"/>
    <w:rsid w:val="008034D2"/>
    <w:rsid w:val="0080561E"/>
    <w:rsid w:val="00810AAA"/>
    <w:rsid w:val="008116F2"/>
    <w:rsid w:val="00816763"/>
    <w:rsid w:val="00820634"/>
    <w:rsid w:val="00833963"/>
    <w:rsid w:val="0083433C"/>
    <w:rsid w:val="00843746"/>
    <w:rsid w:val="00846606"/>
    <w:rsid w:val="00855670"/>
    <w:rsid w:val="008556F4"/>
    <w:rsid w:val="00860D81"/>
    <w:rsid w:val="00863DAF"/>
    <w:rsid w:val="008659A2"/>
    <w:rsid w:val="0087135A"/>
    <w:rsid w:val="00877BFF"/>
    <w:rsid w:val="0088316C"/>
    <w:rsid w:val="0089626D"/>
    <w:rsid w:val="008962DC"/>
    <w:rsid w:val="008970DB"/>
    <w:rsid w:val="008A57C7"/>
    <w:rsid w:val="008A682B"/>
    <w:rsid w:val="008A7192"/>
    <w:rsid w:val="008B3AA0"/>
    <w:rsid w:val="008B5052"/>
    <w:rsid w:val="008B610B"/>
    <w:rsid w:val="008B7C06"/>
    <w:rsid w:val="008C220D"/>
    <w:rsid w:val="008C7B91"/>
    <w:rsid w:val="008E79FB"/>
    <w:rsid w:val="008F1B23"/>
    <w:rsid w:val="008F1F9F"/>
    <w:rsid w:val="008F5EB4"/>
    <w:rsid w:val="0090005F"/>
    <w:rsid w:val="009047FD"/>
    <w:rsid w:val="00915CA4"/>
    <w:rsid w:val="00925BD5"/>
    <w:rsid w:val="009303B5"/>
    <w:rsid w:val="00933924"/>
    <w:rsid w:val="0093407D"/>
    <w:rsid w:val="009354A4"/>
    <w:rsid w:val="0093702F"/>
    <w:rsid w:val="00941470"/>
    <w:rsid w:val="009547A8"/>
    <w:rsid w:val="00957DB1"/>
    <w:rsid w:val="009665A0"/>
    <w:rsid w:val="009763A2"/>
    <w:rsid w:val="009819E7"/>
    <w:rsid w:val="00984C36"/>
    <w:rsid w:val="009A3363"/>
    <w:rsid w:val="009A3D36"/>
    <w:rsid w:val="009A6FEB"/>
    <w:rsid w:val="009B3FA8"/>
    <w:rsid w:val="009C1A2C"/>
    <w:rsid w:val="009C5CCA"/>
    <w:rsid w:val="009D4FF2"/>
    <w:rsid w:val="009E5DEE"/>
    <w:rsid w:val="00A039E0"/>
    <w:rsid w:val="00A11FFF"/>
    <w:rsid w:val="00A16EF8"/>
    <w:rsid w:val="00A20E23"/>
    <w:rsid w:val="00A2164B"/>
    <w:rsid w:val="00A276AB"/>
    <w:rsid w:val="00A349E7"/>
    <w:rsid w:val="00A35568"/>
    <w:rsid w:val="00A364DD"/>
    <w:rsid w:val="00A36D28"/>
    <w:rsid w:val="00A422D4"/>
    <w:rsid w:val="00A44DD9"/>
    <w:rsid w:val="00A5215A"/>
    <w:rsid w:val="00A53E40"/>
    <w:rsid w:val="00A57278"/>
    <w:rsid w:val="00A6018D"/>
    <w:rsid w:val="00A64FC1"/>
    <w:rsid w:val="00A71D59"/>
    <w:rsid w:val="00A76A04"/>
    <w:rsid w:val="00A77DF5"/>
    <w:rsid w:val="00A8733E"/>
    <w:rsid w:val="00A876ED"/>
    <w:rsid w:val="00A955AE"/>
    <w:rsid w:val="00A957D5"/>
    <w:rsid w:val="00A97BCB"/>
    <w:rsid w:val="00AA1C0F"/>
    <w:rsid w:val="00AA57F7"/>
    <w:rsid w:val="00AA5FCC"/>
    <w:rsid w:val="00AB12EC"/>
    <w:rsid w:val="00AB6A9A"/>
    <w:rsid w:val="00AC0EF9"/>
    <w:rsid w:val="00AC613E"/>
    <w:rsid w:val="00AE102A"/>
    <w:rsid w:val="00AE156F"/>
    <w:rsid w:val="00AE2342"/>
    <w:rsid w:val="00AF60DF"/>
    <w:rsid w:val="00B03503"/>
    <w:rsid w:val="00B2255F"/>
    <w:rsid w:val="00B237E8"/>
    <w:rsid w:val="00B23DD8"/>
    <w:rsid w:val="00B33DA4"/>
    <w:rsid w:val="00B45554"/>
    <w:rsid w:val="00B468F7"/>
    <w:rsid w:val="00B51787"/>
    <w:rsid w:val="00B52B7A"/>
    <w:rsid w:val="00B67821"/>
    <w:rsid w:val="00B70C99"/>
    <w:rsid w:val="00B7218D"/>
    <w:rsid w:val="00B7239A"/>
    <w:rsid w:val="00B7620C"/>
    <w:rsid w:val="00B81E18"/>
    <w:rsid w:val="00B862E9"/>
    <w:rsid w:val="00B865BF"/>
    <w:rsid w:val="00B90DB8"/>
    <w:rsid w:val="00B92917"/>
    <w:rsid w:val="00B9564B"/>
    <w:rsid w:val="00BA0A85"/>
    <w:rsid w:val="00BA0B34"/>
    <w:rsid w:val="00BA4979"/>
    <w:rsid w:val="00BA7FB3"/>
    <w:rsid w:val="00BB3ECF"/>
    <w:rsid w:val="00BB6C75"/>
    <w:rsid w:val="00BC0F51"/>
    <w:rsid w:val="00BC3D35"/>
    <w:rsid w:val="00BC5BC2"/>
    <w:rsid w:val="00BD0463"/>
    <w:rsid w:val="00BD4D5A"/>
    <w:rsid w:val="00BD4F51"/>
    <w:rsid w:val="00BD7C74"/>
    <w:rsid w:val="00BE013E"/>
    <w:rsid w:val="00BE5259"/>
    <w:rsid w:val="00BE7192"/>
    <w:rsid w:val="00C0751D"/>
    <w:rsid w:val="00C1005C"/>
    <w:rsid w:val="00C10104"/>
    <w:rsid w:val="00C1176A"/>
    <w:rsid w:val="00C175D8"/>
    <w:rsid w:val="00C1795E"/>
    <w:rsid w:val="00C225C7"/>
    <w:rsid w:val="00C229D6"/>
    <w:rsid w:val="00C23663"/>
    <w:rsid w:val="00C2535A"/>
    <w:rsid w:val="00C26C49"/>
    <w:rsid w:val="00C27AB4"/>
    <w:rsid w:val="00C34336"/>
    <w:rsid w:val="00C47C41"/>
    <w:rsid w:val="00C51E1C"/>
    <w:rsid w:val="00C531E1"/>
    <w:rsid w:val="00C6087E"/>
    <w:rsid w:val="00C71E17"/>
    <w:rsid w:val="00C71F40"/>
    <w:rsid w:val="00C86BCB"/>
    <w:rsid w:val="00C87375"/>
    <w:rsid w:val="00C9242C"/>
    <w:rsid w:val="00C93C0A"/>
    <w:rsid w:val="00CA2F64"/>
    <w:rsid w:val="00CA3D33"/>
    <w:rsid w:val="00CA601D"/>
    <w:rsid w:val="00CB6B78"/>
    <w:rsid w:val="00CD628A"/>
    <w:rsid w:val="00CD7F12"/>
    <w:rsid w:val="00CE2691"/>
    <w:rsid w:val="00CF4A94"/>
    <w:rsid w:val="00D01B5C"/>
    <w:rsid w:val="00D07826"/>
    <w:rsid w:val="00D10CD8"/>
    <w:rsid w:val="00D136A4"/>
    <w:rsid w:val="00D17DB2"/>
    <w:rsid w:val="00D24D56"/>
    <w:rsid w:val="00D321F1"/>
    <w:rsid w:val="00D42EE0"/>
    <w:rsid w:val="00D5311C"/>
    <w:rsid w:val="00D54871"/>
    <w:rsid w:val="00D54F6A"/>
    <w:rsid w:val="00D60079"/>
    <w:rsid w:val="00D62C96"/>
    <w:rsid w:val="00D63BBE"/>
    <w:rsid w:val="00D67E11"/>
    <w:rsid w:val="00D74767"/>
    <w:rsid w:val="00D77B6D"/>
    <w:rsid w:val="00D8447D"/>
    <w:rsid w:val="00D85BDC"/>
    <w:rsid w:val="00D91D7E"/>
    <w:rsid w:val="00D93512"/>
    <w:rsid w:val="00DA2CA6"/>
    <w:rsid w:val="00DB7611"/>
    <w:rsid w:val="00DC3B2B"/>
    <w:rsid w:val="00DC5D6A"/>
    <w:rsid w:val="00DC61D0"/>
    <w:rsid w:val="00DD06F0"/>
    <w:rsid w:val="00DD5252"/>
    <w:rsid w:val="00DE004B"/>
    <w:rsid w:val="00E04DCC"/>
    <w:rsid w:val="00E1182B"/>
    <w:rsid w:val="00E14181"/>
    <w:rsid w:val="00E26B49"/>
    <w:rsid w:val="00E26DCE"/>
    <w:rsid w:val="00E32E6F"/>
    <w:rsid w:val="00E400BA"/>
    <w:rsid w:val="00E40C1C"/>
    <w:rsid w:val="00E571B2"/>
    <w:rsid w:val="00E574FB"/>
    <w:rsid w:val="00E60D4F"/>
    <w:rsid w:val="00E634C7"/>
    <w:rsid w:val="00E7207D"/>
    <w:rsid w:val="00E74D00"/>
    <w:rsid w:val="00E74FF7"/>
    <w:rsid w:val="00E82113"/>
    <w:rsid w:val="00E82DD3"/>
    <w:rsid w:val="00EB1C95"/>
    <w:rsid w:val="00EB25B9"/>
    <w:rsid w:val="00EB3947"/>
    <w:rsid w:val="00EB3EFC"/>
    <w:rsid w:val="00EB4295"/>
    <w:rsid w:val="00EB44B7"/>
    <w:rsid w:val="00EC0425"/>
    <w:rsid w:val="00ED27F8"/>
    <w:rsid w:val="00EE41BF"/>
    <w:rsid w:val="00EE4314"/>
    <w:rsid w:val="00EF0A39"/>
    <w:rsid w:val="00EF253D"/>
    <w:rsid w:val="00EF35EC"/>
    <w:rsid w:val="00F04786"/>
    <w:rsid w:val="00F0548C"/>
    <w:rsid w:val="00F12AAD"/>
    <w:rsid w:val="00F14668"/>
    <w:rsid w:val="00F16D75"/>
    <w:rsid w:val="00F22F92"/>
    <w:rsid w:val="00F235DF"/>
    <w:rsid w:val="00F24964"/>
    <w:rsid w:val="00F4060D"/>
    <w:rsid w:val="00F41B88"/>
    <w:rsid w:val="00F44C03"/>
    <w:rsid w:val="00F451D9"/>
    <w:rsid w:val="00F456A0"/>
    <w:rsid w:val="00F465B7"/>
    <w:rsid w:val="00F46CEB"/>
    <w:rsid w:val="00F52795"/>
    <w:rsid w:val="00F548E6"/>
    <w:rsid w:val="00F61910"/>
    <w:rsid w:val="00F64FA4"/>
    <w:rsid w:val="00F65FFA"/>
    <w:rsid w:val="00F72665"/>
    <w:rsid w:val="00F816DD"/>
    <w:rsid w:val="00F81C03"/>
    <w:rsid w:val="00F82AFC"/>
    <w:rsid w:val="00F83E7D"/>
    <w:rsid w:val="00F931A3"/>
    <w:rsid w:val="00F95309"/>
    <w:rsid w:val="00F95AB4"/>
    <w:rsid w:val="00FA3489"/>
    <w:rsid w:val="00FA39E7"/>
    <w:rsid w:val="00FC0FF9"/>
    <w:rsid w:val="00FD2526"/>
    <w:rsid w:val="00FE0D44"/>
    <w:rsid w:val="00FE4970"/>
    <w:rsid w:val="00FF66F8"/>
    <w:rsid w:val="011A38F3"/>
    <w:rsid w:val="012762D0"/>
    <w:rsid w:val="015C74D2"/>
    <w:rsid w:val="018215D0"/>
    <w:rsid w:val="02045080"/>
    <w:rsid w:val="027A232E"/>
    <w:rsid w:val="02C52E86"/>
    <w:rsid w:val="03051B46"/>
    <w:rsid w:val="03154D0D"/>
    <w:rsid w:val="03574128"/>
    <w:rsid w:val="0357768B"/>
    <w:rsid w:val="037B5411"/>
    <w:rsid w:val="04360C69"/>
    <w:rsid w:val="05C11E74"/>
    <w:rsid w:val="05ED458E"/>
    <w:rsid w:val="063900DA"/>
    <w:rsid w:val="06A24EA0"/>
    <w:rsid w:val="0771707E"/>
    <w:rsid w:val="07836B01"/>
    <w:rsid w:val="07BE6DDD"/>
    <w:rsid w:val="08697FAD"/>
    <w:rsid w:val="08882B26"/>
    <w:rsid w:val="09A36E88"/>
    <w:rsid w:val="09C65FA0"/>
    <w:rsid w:val="0A336345"/>
    <w:rsid w:val="0A550CA2"/>
    <w:rsid w:val="0A7A5CA8"/>
    <w:rsid w:val="0BCF6F5B"/>
    <w:rsid w:val="0BD123F8"/>
    <w:rsid w:val="0C572388"/>
    <w:rsid w:val="0C677F32"/>
    <w:rsid w:val="0C724A3F"/>
    <w:rsid w:val="0D8F045C"/>
    <w:rsid w:val="0DCF4715"/>
    <w:rsid w:val="0E0452E7"/>
    <w:rsid w:val="0EA07692"/>
    <w:rsid w:val="0F813EB0"/>
    <w:rsid w:val="0F9574FC"/>
    <w:rsid w:val="0FA00C93"/>
    <w:rsid w:val="0FF66442"/>
    <w:rsid w:val="10A3264E"/>
    <w:rsid w:val="10D8426C"/>
    <w:rsid w:val="11C24D4D"/>
    <w:rsid w:val="11E53AD4"/>
    <w:rsid w:val="11FB478D"/>
    <w:rsid w:val="1235184F"/>
    <w:rsid w:val="126028DC"/>
    <w:rsid w:val="13140284"/>
    <w:rsid w:val="13635FD4"/>
    <w:rsid w:val="138305FE"/>
    <w:rsid w:val="13DD1179"/>
    <w:rsid w:val="141534C6"/>
    <w:rsid w:val="148874FB"/>
    <w:rsid w:val="15125985"/>
    <w:rsid w:val="15156EE9"/>
    <w:rsid w:val="15853AE5"/>
    <w:rsid w:val="15CF62C5"/>
    <w:rsid w:val="15F13ABE"/>
    <w:rsid w:val="161E5F1E"/>
    <w:rsid w:val="16935B42"/>
    <w:rsid w:val="170C01EF"/>
    <w:rsid w:val="170F7930"/>
    <w:rsid w:val="1790530B"/>
    <w:rsid w:val="17B74E57"/>
    <w:rsid w:val="17D22D57"/>
    <w:rsid w:val="17FC56E0"/>
    <w:rsid w:val="182127A7"/>
    <w:rsid w:val="188A3E81"/>
    <w:rsid w:val="18A53E1F"/>
    <w:rsid w:val="18A777E5"/>
    <w:rsid w:val="18AF7F8C"/>
    <w:rsid w:val="18B3396F"/>
    <w:rsid w:val="18DB151F"/>
    <w:rsid w:val="18F72BC6"/>
    <w:rsid w:val="18FA1E11"/>
    <w:rsid w:val="18FB0925"/>
    <w:rsid w:val="19092ABE"/>
    <w:rsid w:val="19D60A8F"/>
    <w:rsid w:val="19DE0F06"/>
    <w:rsid w:val="1A0071EC"/>
    <w:rsid w:val="1A3E6E3B"/>
    <w:rsid w:val="1A991945"/>
    <w:rsid w:val="1A9D4665"/>
    <w:rsid w:val="1B520BFB"/>
    <w:rsid w:val="1BE4534E"/>
    <w:rsid w:val="1C1B41ED"/>
    <w:rsid w:val="1C3378FB"/>
    <w:rsid w:val="1C46071B"/>
    <w:rsid w:val="1C571A81"/>
    <w:rsid w:val="1C6216D2"/>
    <w:rsid w:val="1C851A45"/>
    <w:rsid w:val="1CA30DB8"/>
    <w:rsid w:val="1CB678E8"/>
    <w:rsid w:val="1CD04F10"/>
    <w:rsid w:val="1D1F7214"/>
    <w:rsid w:val="1DDC7A6B"/>
    <w:rsid w:val="1DE35FF1"/>
    <w:rsid w:val="1DE56C48"/>
    <w:rsid w:val="1DFC14DF"/>
    <w:rsid w:val="1E492912"/>
    <w:rsid w:val="1E916058"/>
    <w:rsid w:val="1ED006F9"/>
    <w:rsid w:val="1F500197"/>
    <w:rsid w:val="1FF96DC5"/>
    <w:rsid w:val="20682E12"/>
    <w:rsid w:val="20A41B4C"/>
    <w:rsid w:val="20BE1E3A"/>
    <w:rsid w:val="20D91A26"/>
    <w:rsid w:val="210F4D4B"/>
    <w:rsid w:val="21CA7513"/>
    <w:rsid w:val="21F66D93"/>
    <w:rsid w:val="22552DCB"/>
    <w:rsid w:val="22825E09"/>
    <w:rsid w:val="234B4C13"/>
    <w:rsid w:val="237B2BBC"/>
    <w:rsid w:val="240514FF"/>
    <w:rsid w:val="241B370F"/>
    <w:rsid w:val="241C5DEA"/>
    <w:rsid w:val="24B11DAC"/>
    <w:rsid w:val="24B9025B"/>
    <w:rsid w:val="25DD01E7"/>
    <w:rsid w:val="265B53DF"/>
    <w:rsid w:val="2668789A"/>
    <w:rsid w:val="26A07DB4"/>
    <w:rsid w:val="26B06F38"/>
    <w:rsid w:val="26CB0BF9"/>
    <w:rsid w:val="26F559BF"/>
    <w:rsid w:val="270A3D22"/>
    <w:rsid w:val="2763163B"/>
    <w:rsid w:val="27FB7DA7"/>
    <w:rsid w:val="27FE2665"/>
    <w:rsid w:val="28DA4747"/>
    <w:rsid w:val="28F24874"/>
    <w:rsid w:val="29764CC6"/>
    <w:rsid w:val="2A986104"/>
    <w:rsid w:val="2AC202B9"/>
    <w:rsid w:val="2BAC6396"/>
    <w:rsid w:val="2C2864FE"/>
    <w:rsid w:val="2C4B44B8"/>
    <w:rsid w:val="2C8A0F6F"/>
    <w:rsid w:val="2C9E7B01"/>
    <w:rsid w:val="2D015FC4"/>
    <w:rsid w:val="2D8B5031"/>
    <w:rsid w:val="2DA20526"/>
    <w:rsid w:val="2E2F328E"/>
    <w:rsid w:val="2E3B602E"/>
    <w:rsid w:val="2E6E26D2"/>
    <w:rsid w:val="2EB049ED"/>
    <w:rsid w:val="2ED1081F"/>
    <w:rsid w:val="2FA536FC"/>
    <w:rsid w:val="2FB5523D"/>
    <w:rsid w:val="30B25449"/>
    <w:rsid w:val="30D63CFE"/>
    <w:rsid w:val="31131510"/>
    <w:rsid w:val="312B08ED"/>
    <w:rsid w:val="319D5259"/>
    <w:rsid w:val="31A31492"/>
    <w:rsid w:val="326D5E57"/>
    <w:rsid w:val="3276179B"/>
    <w:rsid w:val="334B59E6"/>
    <w:rsid w:val="33675BD1"/>
    <w:rsid w:val="336A56D9"/>
    <w:rsid w:val="33D926DC"/>
    <w:rsid w:val="33F552BE"/>
    <w:rsid w:val="34041445"/>
    <w:rsid w:val="348C4203"/>
    <w:rsid w:val="349954A7"/>
    <w:rsid w:val="35361ED1"/>
    <w:rsid w:val="355F73DB"/>
    <w:rsid w:val="35930F19"/>
    <w:rsid w:val="35CF2C5E"/>
    <w:rsid w:val="35E713F0"/>
    <w:rsid w:val="35EE556B"/>
    <w:rsid w:val="366D572D"/>
    <w:rsid w:val="366D66ED"/>
    <w:rsid w:val="36FB3EA2"/>
    <w:rsid w:val="37441D31"/>
    <w:rsid w:val="375B30B1"/>
    <w:rsid w:val="381D69A7"/>
    <w:rsid w:val="38DF51DF"/>
    <w:rsid w:val="395E4C7F"/>
    <w:rsid w:val="39861094"/>
    <w:rsid w:val="398F7430"/>
    <w:rsid w:val="39C60720"/>
    <w:rsid w:val="3A60210C"/>
    <w:rsid w:val="3AA950D2"/>
    <w:rsid w:val="3AD05669"/>
    <w:rsid w:val="3B636906"/>
    <w:rsid w:val="3BB84911"/>
    <w:rsid w:val="3CB40325"/>
    <w:rsid w:val="3CE306B8"/>
    <w:rsid w:val="3D2262EA"/>
    <w:rsid w:val="3D6E6F70"/>
    <w:rsid w:val="3DF51A7F"/>
    <w:rsid w:val="3E5B588D"/>
    <w:rsid w:val="3E7036D0"/>
    <w:rsid w:val="3E787E40"/>
    <w:rsid w:val="3F2C572D"/>
    <w:rsid w:val="3F3E5B0E"/>
    <w:rsid w:val="400F575D"/>
    <w:rsid w:val="403E7544"/>
    <w:rsid w:val="40955A89"/>
    <w:rsid w:val="40D63EBB"/>
    <w:rsid w:val="40F76FEC"/>
    <w:rsid w:val="41740FAE"/>
    <w:rsid w:val="41C34563"/>
    <w:rsid w:val="41CE31CA"/>
    <w:rsid w:val="42216BE5"/>
    <w:rsid w:val="42223CDC"/>
    <w:rsid w:val="429A41F3"/>
    <w:rsid w:val="438C11FE"/>
    <w:rsid w:val="43A850E7"/>
    <w:rsid w:val="43D20FD6"/>
    <w:rsid w:val="447D115D"/>
    <w:rsid w:val="44EA0AFD"/>
    <w:rsid w:val="45CB4536"/>
    <w:rsid w:val="463F2137"/>
    <w:rsid w:val="46BE4509"/>
    <w:rsid w:val="472F4D30"/>
    <w:rsid w:val="47652A8B"/>
    <w:rsid w:val="47B05B92"/>
    <w:rsid w:val="485262FE"/>
    <w:rsid w:val="486025AC"/>
    <w:rsid w:val="48AC1485"/>
    <w:rsid w:val="49F54360"/>
    <w:rsid w:val="4ADF4647"/>
    <w:rsid w:val="4AE24B81"/>
    <w:rsid w:val="4B1D2E9A"/>
    <w:rsid w:val="4B39594A"/>
    <w:rsid w:val="4B583010"/>
    <w:rsid w:val="4C593A74"/>
    <w:rsid w:val="4CB7338A"/>
    <w:rsid w:val="4CC0175E"/>
    <w:rsid w:val="4CCB2D14"/>
    <w:rsid w:val="4CFB7E4A"/>
    <w:rsid w:val="4D001AC7"/>
    <w:rsid w:val="4D070AD6"/>
    <w:rsid w:val="4DE73381"/>
    <w:rsid w:val="4E454F77"/>
    <w:rsid w:val="4F3176EA"/>
    <w:rsid w:val="4F401371"/>
    <w:rsid w:val="4FD41789"/>
    <w:rsid w:val="509932B7"/>
    <w:rsid w:val="50D42FC3"/>
    <w:rsid w:val="512870AC"/>
    <w:rsid w:val="520E71FC"/>
    <w:rsid w:val="523776C0"/>
    <w:rsid w:val="533F57EC"/>
    <w:rsid w:val="54AB566F"/>
    <w:rsid w:val="54B9137C"/>
    <w:rsid w:val="550C4E0A"/>
    <w:rsid w:val="567B29ED"/>
    <w:rsid w:val="568B6F25"/>
    <w:rsid w:val="572003F0"/>
    <w:rsid w:val="57465C96"/>
    <w:rsid w:val="579D4292"/>
    <w:rsid w:val="57DF297F"/>
    <w:rsid w:val="58AD74F5"/>
    <w:rsid w:val="58D26118"/>
    <w:rsid w:val="59312389"/>
    <w:rsid w:val="5A194AEC"/>
    <w:rsid w:val="5A852253"/>
    <w:rsid w:val="5AF92C1C"/>
    <w:rsid w:val="5AFE6FDE"/>
    <w:rsid w:val="5B024CD5"/>
    <w:rsid w:val="5B1C2D2B"/>
    <w:rsid w:val="5B8C41C8"/>
    <w:rsid w:val="5B915CB4"/>
    <w:rsid w:val="5C2F7F0A"/>
    <w:rsid w:val="5C617BB5"/>
    <w:rsid w:val="5C6958A7"/>
    <w:rsid w:val="5C7C743D"/>
    <w:rsid w:val="5D103F4D"/>
    <w:rsid w:val="5D216C36"/>
    <w:rsid w:val="5DE02D76"/>
    <w:rsid w:val="5E7B089F"/>
    <w:rsid w:val="5EB236D2"/>
    <w:rsid w:val="5EBF6EEB"/>
    <w:rsid w:val="5EEB315D"/>
    <w:rsid w:val="5F1624A5"/>
    <w:rsid w:val="5F82047A"/>
    <w:rsid w:val="5F871AB4"/>
    <w:rsid w:val="5FDB2882"/>
    <w:rsid w:val="600A113E"/>
    <w:rsid w:val="60CC52CC"/>
    <w:rsid w:val="623D3928"/>
    <w:rsid w:val="631D52ED"/>
    <w:rsid w:val="63A56D5B"/>
    <w:rsid w:val="645063CB"/>
    <w:rsid w:val="64C6433E"/>
    <w:rsid w:val="651E48D2"/>
    <w:rsid w:val="65915272"/>
    <w:rsid w:val="65BD7F3E"/>
    <w:rsid w:val="660B01B1"/>
    <w:rsid w:val="66932020"/>
    <w:rsid w:val="66E33A92"/>
    <w:rsid w:val="67581C0A"/>
    <w:rsid w:val="67712F8B"/>
    <w:rsid w:val="67EA043E"/>
    <w:rsid w:val="68B433FB"/>
    <w:rsid w:val="68BD6DCB"/>
    <w:rsid w:val="69355059"/>
    <w:rsid w:val="69AD6E83"/>
    <w:rsid w:val="69C33F54"/>
    <w:rsid w:val="6AAD7AAC"/>
    <w:rsid w:val="6AF174D4"/>
    <w:rsid w:val="6C2B6A4E"/>
    <w:rsid w:val="6C3A2CEF"/>
    <w:rsid w:val="6C4B5B19"/>
    <w:rsid w:val="6D144DA8"/>
    <w:rsid w:val="6D1821C4"/>
    <w:rsid w:val="6D8B1DDB"/>
    <w:rsid w:val="6E4C19C8"/>
    <w:rsid w:val="6E7A79E7"/>
    <w:rsid w:val="6EC642C6"/>
    <w:rsid w:val="6F295BFD"/>
    <w:rsid w:val="6F326D6E"/>
    <w:rsid w:val="6F3D5854"/>
    <w:rsid w:val="6FE32CC9"/>
    <w:rsid w:val="701A2A74"/>
    <w:rsid w:val="70344EC4"/>
    <w:rsid w:val="70763FD8"/>
    <w:rsid w:val="70A9108D"/>
    <w:rsid w:val="70D6040C"/>
    <w:rsid w:val="70D712EC"/>
    <w:rsid w:val="70E96C43"/>
    <w:rsid w:val="710F2978"/>
    <w:rsid w:val="71195AAF"/>
    <w:rsid w:val="71467413"/>
    <w:rsid w:val="71BE071C"/>
    <w:rsid w:val="71E15325"/>
    <w:rsid w:val="72505473"/>
    <w:rsid w:val="72924658"/>
    <w:rsid w:val="7308741A"/>
    <w:rsid w:val="734F74C2"/>
    <w:rsid w:val="73603FC6"/>
    <w:rsid w:val="738A400E"/>
    <w:rsid w:val="73F71C75"/>
    <w:rsid w:val="745C01DF"/>
    <w:rsid w:val="74AB1711"/>
    <w:rsid w:val="74B9554E"/>
    <w:rsid w:val="74FD35D8"/>
    <w:rsid w:val="7583505A"/>
    <w:rsid w:val="75CC3F52"/>
    <w:rsid w:val="762808B8"/>
    <w:rsid w:val="764C6F64"/>
    <w:rsid w:val="76504CD4"/>
    <w:rsid w:val="76751503"/>
    <w:rsid w:val="76E53C19"/>
    <w:rsid w:val="76F4218F"/>
    <w:rsid w:val="77392335"/>
    <w:rsid w:val="775E18D6"/>
    <w:rsid w:val="778014B6"/>
    <w:rsid w:val="77DA5185"/>
    <w:rsid w:val="77E91EFC"/>
    <w:rsid w:val="77F83468"/>
    <w:rsid w:val="78AD102E"/>
    <w:rsid w:val="78D477D0"/>
    <w:rsid w:val="791A0D8D"/>
    <w:rsid w:val="79C42F5D"/>
    <w:rsid w:val="79D72840"/>
    <w:rsid w:val="7A14227A"/>
    <w:rsid w:val="7A733638"/>
    <w:rsid w:val="7B166BD3"/>
    <w:rsid w:val="7B256F82"/>
    <w:rsid w:val="7B91518B"/>
    <w:rsid w:val="7BB70D7F"/>
    <w:rsid w:val="7C763D02"/>
    <w:rsid w:val="7CC674EA"/>
    <w:rsid w:val="7D585708"/>
    <w:rsid w:val="7D8A0903"/>
    <w:rsid w:val="7DCE2CF7"/>
    <w:rsid w:val="7E67135C"/>
    <w:rsid w:val="7EA16BC6"/>
    <w:rsid w:val="7EB86FD9"/>
    <w:rsid w:val="7F631252"/>
    <w:rsid w:val="7FB51B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semiHidden="0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qFormat="1" w:uiPriority="39" w:semiHidden="0" w:name="toc 1"/>
    <w:lsdException w:qFormat="1" w:uiPriority="39" w:semiHidden="0" w:name="toc 2"/>
    <w:lsdException w:qFormat="1" w:uiPriority="39" w:semiHidden="0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qFormat="1" w:unhideWhenUsed="0" w:uiPriority="99" w:semiHidden="0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0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qFormat="1"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qFormat="1" w:unhideWhenUsed="0" w:uiPriority="0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link w:val="26"/>
    <w:qFormat/>
    <w:uiPriority w:val="9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3">
    <w:name w:val="heading 2"/>
    <w:basedOn w:val="1"/>
    <w:next w:val="1"/>
    <w:link w:val="28"/>
    <w:unhideWhenUsed/>
    <w:qFormat/>
    <w:uiPriority w:val="9"/>
    <w:pPr>
      <w:keepNext/>
      <w:keepLines/>
      <w:spacing w:before="260" w:after="260" w:line="416" w:lineRule="auto"/>
      <w:outlineLvl w:val="1"/>
    </w:pPr>
    <w:rPr>
      <w:rFonts w:asciiTheme="majorHAnsi" w:hAnsiTheme="majorHAnsi" w:eastAsiaTheme="majorEastAsia" w:cstheme="majorBidi"/>
      <w:b/>
      <w:bCs/>
      <w:sz w:val="32"/>
      <w:szCs w:val="32"/>
    </w:rPr>
  </w:style>
  <w:style w:type="paragraph" w:styleId="4">
    <w:name w:val="heading 3"/>
    <w:basedOn w:val="1"/>
    <w:next w:val="1"/>
    <w:link w:val="27"/>
    <w:unhideWhenUsed/>
    <w:qFormat/>
    <w:uiPriority w:val="9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character" w:default="1" w:styleId="15">
    <w:name w:val="Default Paragraph Font"/>
    <w:semiHidden/>
    <w:unhideWhenUsed/>
    <w:qFormat/>
    <w:uiPriority w:val="1"/>
  </w:style>
  <w:style w:type="table" w:default="1" w:styleId="13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5">
    <w:name w:val="Body Text Indent"/>
    <w:basedOn w:val="1"/>
    <w:qFormat/>
    <w:uiPriority w:val="99"/>
    <w:pPr>
      <w:ind w:firstLine="420" w:firstLineChars="200"/>
    </w:pPr>
    <w:rPr>
      <w:rFonts w:ascii="宋体" w:hAnsi="宋体" w:eastAsia="宋体" w:cs="宋体"/>
      <w:szCs w:val="21"/>
    </w:rPr>
  </w:style>
  <w:style w:type="paragraph" w:styleId="6">
    <w:name w:val="toc 3"/>
    <w:basedOn w:val="1"/>
    <w:next w:val="1"/>
    <w:unhideWhenUsed/>
    <w:qFormat/>
    <w:uiPriority w:val="39"/>
    <w:pPr>
      <w:ind w:left="840" w:leftChars="400"/>
    </w:pPr>
  </w:style>
  <w:style w:type="paragraph" w:styleId="7">
    <w:name w:val="Balloon Text"/>
    <w:basedOn w:val="1"/>
    <w:link w:val="20"/>
    <w:semiHidden/>
    <w:unhideWhenUsed/>
    <w:qFormat/>
    <w:uiPriority w:val="99"/>
    <w:rPr>
      <w:sz w:val="18"/>
      <w:szCs w:val="18"/>
    </w:rPr>
  </w:style>
  <w:style w:type="paragraph" w:styleId="8">
    <w:name w:val="footer"/>
    <w:basedOn w:val="1"/>
    <w:link w:val="19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9">
    <w:name w:val="header"/>
    <w:basedOn w:val="1"/>
    <w:link w:val="18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0">
    <w:name w:val="toc 1"/>
    <w:basedOn w:val="1"/>
    <w:next w:val="1"/>
    <w:unhideWhenUsed/>
    <w:qFormat/>
    <w:uiPriority w:val="39"/>
    <w:pPr>
      <w:tabs>
        <w:tab w:val="right" w:leader="dot" w:pos="8296"/>
      </w:tabs>
      <w:spacing w:line="300" w:lineRule="exact"/>
    </w:pPr>
  </w:style>
  <w:style w:type="paragraph" w:styleId="11">
    <w:name w:val="toc 2"/>
    <w:basedOn w:val="1"/>
    <w:next w:val="1"/>
    <w:unhideWhenUsed/>
    <w:qFormat/>
    <w:uiPriority w:val="39"/>
    <w:pPr>
      <w:ind w:left="420" w:leftChars="200"/>
    </w:pPr>
  </w:style>
  <w:style w:type="paragraph" w:styleId="12">
    <w:name w:val="Normal (Web)"/>
    <w:basedOn w:val="1"/>
    <w:semiHidden/>
    <w:unhideWhenUsed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table" w:styleId="14">
    <w:name w:val="Table Grid"/>
    <w:basedOn w:val="13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16">
    <w:name w:val="Strong"/>
    <w:basedOn w:val="15"/>
    <w:qFormat/>
    <w:uiPriority w:val="0"/>
    <w:rPr>
      <w:b/>
    </w:rPr>
  </w:style>
  <w:style w:type="character" w:styleId="17">
    <w:name w:val="Hyperlink"/>
    <w:basedOn w:val="15"/>
    <w:unhideWhenUsed/>
    <w:qFormat/>
    <w:uiPriority w:val="99"/>
    <w:rPr>
      <w:color w:val="0000FF" w:themeColor="hyperlink"/>
      <w:u w:val="single"/>
      <w14:textFill>
        <w14:solidFill>
          <w14:schemeClr w14:val="hlink"/>
        </w14:solidFill>
      </w14:textFill>
    </w:rPr>
  </w:style>
  <w:style w:type="character" w:customStyle="1" w:styleId="18">
    <w:name w:val="页眉 Char"/>
    <w:basedOn w:val="15"/>
    <w:link w:val="9"/>
    <w:qFormat/>
    <w:uiPriority w:val="99"/>
    <w:rPr>
      <w:sz w:val="18"/>
      <w:szCs w:val="18"/>
    </w:rPr>
  </w:style>
  <w:style w:type="character" w:customStyle="1" w:styleId="19">
    <w:name w:val="页脚 Char"/>
    <w:basedOn w:val="15"/>
    <w:link w:val="8"/>
    <w:qFormat/>
    <w:uiPriority w:val="99"/>
    <w:rPr>
      <w:sz w:val="18"/>
      <w:szCs w:val="18"/>
    </w:rPr>
  </w:style>
  <w:style w:type="character" w:customStyle="1" w:styleId="20">
    <w:name w:val="批注框文本 Char"/>
    <w:basedOn w:val="15"/>
    <w:link w:val="7"/>
    <w:semiHidden/>
    <w:qFormat/>
    <w:uiPriority w:val="99"/>
    <w:rPr>
      <w:sz w:val="18"/>
      <w:szCs w:val="18"/>
    </w:rPr>
  </w:style>
  <w:style w:type="paragraph" w:styleId="21">
    <w:name w:val="List Paragraph"/>
    <w:basedOn w:val="1"/>
    <w:qFormat/>
    <w:uiPriority w:val="34"/>
    <w:pPr>
      <w:ind w:firstLine="420" w:firstLineChars="200"/>
    </w:pPr>
  </w:style>
  <w:style w:type="character" w:customStyle="1" w:styleId="22">
    <w:name w:val="font21"/>
    <w:basedOn w:val="15"/>
    <w:qFormat/>
    <w:uiPriority w:val="0"/>
    <w:rPr>
      <w:rFonts w:hint="eastAsia" w:ascii="宋体" w:hAnsi="宋体" w:eastAsia="宋体" w:cs="宋体"/>
      <w:color w:val="000000"/>
      <w:sz w:val="18"/>
      <w:szCs w:val="18"/>
      <w:u w:val="none"/>
    </w:rPr>
  </w:style>
  <w:style w:type="paragraph" w:customStyle="1" w:styleId="23">
    <w:name w:val="paragraph"/>
    <w:basedOn w:val="1"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 w:eastAsia="宋体" w:cs="宋体"/>
      <w:kern w:val="0"/>
      <w:sz w:val="24"/>
      <w:szCs w:val="24"/>
    </w:rPr>
  </w:style>
  <w:style w:type="paragraph" w:customStyle="1" w:styleId="24">
    <w:name w:val="Default"/>
    <w:qFormat/>
    <w:uiPriority w:val="0"/>
    <w:pPr>
      <w:widowControl w:val="0"/>
      <w:autoSpaceDE w:val="0"/>
      <w:autoSpaceDN w:val="0"/>
      <w:adjustRightInd w:val="0"/>
    </w:pPr>
    <w:rPr>
      <w:rFonts w:ascii="宋体" w:hAnsi="宋体" w:eastAsia="宋体" w:cs="宋体"/>
      <w:color w:val="000000"/>
      <w:sz w:val="24"/>
      <w:szCs w:val="24"/>
      <w:lang w:val="en-US" w:eastAsia="zh-CN" w:bidi="ar-SA"/>
    </w:rPr>
  </w:style>
  <w:style w:type="table" w:customStyle="1" w:styleId="25">
    <w:name w:val="网格型1"/>
    <w:basedOn w:val="13"/>
    <w:qFormat/>
    <w:locked/>
    <w:uiPriority w:val="0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customStyle="1" w:styleId="26">
    <w:name w:val="标题 1 Char"/>
    <w:basedOn w:val="15"/>
    <w:link w:val="2"/>
    <w:qFormat/>
    <w:uiPriority w:val="9"/>
    <w:rPr>
      <w:b/>
      <w:bCs/>
      <w:kern w:val="44"/>
      <w:sz w:val="44"/>
      <w:szCs w:val="44"/>
    </w:rPr>
  </w:style>
  <w:style w:type="character" w:customStyle="1" w:styleId="27">
    <w:name w:val="标题 3 Char"/>
    <w:basedOn w:val="15"/>
    <w:link w:val="4"/>
    <w:qFormat/>
    <w:uiPriority w:val="9"/>
    <w:rPr>
      <w:b/>
      <w:bCs/>
      <w:kern w:val="2"/>
      <w:sz w:val="32"/>
      <w:szCs w:val="32"/>
    </w:rPr>
  </w:style>
  <w:style w:type="character" w:customStyle="1" w:styleId="28">
    <w:name w:val="标题 2 Char"/>
    <w:basedOn w:val="15"/>
    <w:link w:val="3"/>
    <w:qFormat/>
    <w:uiPriority w:val="9"/>
    <w:rPr>
      <w:rFonts w:asciiTheme="majorHAnsi" w:hAnsiTheme="majorHAnsi" w:eastAsiaTheme="majorEastAsia" w:cstheme="majorBidi"/>
      <w:b/>
      <w:bCs/>
      <w:kern w:val="2"/>
      <w:sz w:val="32"/>
      <w:szCs w:val="32"/>
    </w:rPr>
  </w:style>
  <w:style w:type="paragraph" w:customStyle="1" w:styleId="29">
    <w:name w:val="TOC 标题1"/>
    <w:basedOn w:val="2"/>
    <w:next w:val="1"/>
    <w:unhideWhenUsed/>
    <w:qFormat/>
    <w:uiPriority w:val="39"/>
    <w:pPr>
      <w:widowControl/>
      <w:spacing w:before="240" w:after="0" w:line="259" w:lineRule="auto"/>
      <w:jc w:val="left"/>
      <w:outlineLvl w:val="9"/>
    </w:pPr>
    <w:rPr>
      <w:rFonts w:asciiTheme="majorHAnsi" w:hAnsiTheme="majorHAnsi" w:eastAsiaTheme="majorEastAsia" w:cstheme="majorBidi"/>
      <w:b w:val="0"/>
      <w:bCs w:val="0"/>
      <w:color w:val="376092" w:themeColor="accent1" w:themeShade="BF"/>
      <w:kern w:val="0"/>
      <w:sz w:val="32"/>
      <w:szCs w:val="32"/>
    </w:rPr>
  </w:style>
  <w:style w:type="character" w:customStyle="1" w:styleId="30">
    <w:name w:val="font141"/>
    <w:basedOn w:val="15"/>
    <w:qFormat/>
    <w:uiPriority w:val="0"/>
    <w:rPr>
      <w:rFonts w:hint="eastAsia" w:ascii="方正仿宋简体" w:hAnsi="方正仿宋简体" w:eastAsia="方正仿宋简体" w:cs="方正仿宋简体"/>
      <w:color w:val="000000"/>
      <w:sz w:val="22"/>
      <w:szCs w:val="22"/>
      <w:u w:val="none"/>
    </w:rPr>
  </w:style>
  <w:style w:type="paragraph" w:customStyle="1" w:styleId="31">
    <w:name w:val="TOC 标题2"/>
    <w:basedOn w:val="2"/>
    <w:next w:val="1"/>
    <w:unhideWhenUsed/>
    <w:qFormat/>
    <w:uiPriority w:val="39"/>
    <w:pPr>
      <w:widowControl/>
      <w:spacing w:before="240" w:after="0" w:line="259" w:lineRule="auto"/>
      <w:jc w:val="left"/>
      <w:outlineLvl w:val="9"/>
    </w:pPr>
    <w:rPr>
      <w:rFonts w:asciiTheme="majorHAnsi" w:hAnsiTheme="majorHAnsi" w:eastAsiaTheme="majorEastAsia" w:cstheme="majorBidi"/>
      <w:b w:val="0"/>
      <w:bCs w:val="0"/>
      <w:color w:val="376092" w:themeColor="accent1" w:themeShade="BF"/>
      <w:kern w:val="0"/>
      <w:sz w:val="32"/>
      <w:szCs w:val="32"/>
    </w:rPr>
  </w:style>
  <w:style w:type="paragraph" w:customStyle="1" w:styleId="32">
    <w:name w:val="WPSOffice手动目录 1"/>
    <w:qFormat/>
    <w:uiPriority w:val="0"/>
    <w:rPr>
      <w:rFonts w:ascii="Times New Roman" w:hAnsi="Times New Roman" w:eastAsia="宋体" w:cs="Times New Roman"/>
      <w:lang w:val="en-US" w:eastAsia="zh-CN" w:bidi="ar-SA"/>
    </w:rPr>
  </w:style>
  <w:style w:type="paragraph" w:customStyle="1" w:styleId="33">
    <w:name w:val="WPSOffice手动目录 2"/>
    <w:qFormat/>
    <w:uiPriority w:val="0"/>
    <w:pPr>
      <w:ind w:left="200" w:leftChars="200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34">
    <w:name w:val="WPSOffice手动目录 3"/>
    <w:qFormat/>
    <w:uiPriority w:val="0"/>
    <w:pPr>
      <w:ind w:left="400" w:leftChars="400"/>
    </w:pPr>
    <w:rPr>
      <w:rFonts w:ascii="Times New Roman" w:hAnsi="Times New Roman" w:eastAsia="宋体" w:cs="Times New Roman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jpeg"/><Relationship Id="rId8" Type="http://schemas.openxmlformats.org/officeDocument/2006/relationships/image" Target="media/image2.jpeg"/><Relationship Id="rId7" Type="http://schemas.openxmlformats.org/officeDocument/2006/relationships/image" Target="media/image1.jpeg"/><Relationship Id="rId6" Type="http://schemas.openxmlformats.org/officeDocument/2006/relationships/theme" Target="theme/theme1.xml"/><Relationship Id="rId5" Type="http://schemas.openxmlformats.org/officeDocument/2006/relationships/footer" Target="footer3.xml"/><Relationship Id="rId4" Type="http://schemas.openxmlformats.org/officeDocument/2006/relationships/footer" Target="footer2.xml"/><Relationship Id="rId3" Type="http://schemas.openxmlformats.org/officeDocument/2006/relationships/footer" Target="footer1.xml"/><Relationship Id="rId28" Type="http://schemas.openxmlformats.org/officeDocument/2006/relationships/fontTable" Target="fontTable.xml"/><Relationship Id="rId27" Type="http://schemas.openxmlformats.org/officeDocument/2006/relationships/customXml" Target="../customXml/item2.xml"/><Relationship Id="rId26" Type="http://schemas.openxmlformats.org/officeDocument/2006/relationships/numbering" Target="numbering.xml"/><Relationship Id="rId25" Type="http://schemas.openxmlformats.org/officeDocument/2006/relationships/customXml" Target="../customXml/item1.xml"/><Relationship Id="rId24" Type="http://schemas.openxmlformats.org/officeDocument/2006/relationships/image" Target="media/image13.png"/><Relationship Id="rId23" Type="http://schemas.openxmlformats.org/officeDocument/2006/relationships/image" Target="media/image12.png"/><Relationship Id="rId22" Type="http://schemas.openxmlformats.org/officeDocument/2006/relationships/image" Target="media/image11.jpeg"/><Relationship Id="rId21" Type="http://schemas.openxmlformats.org/officeDocument/2006/relationships/image" Target="media/image10.png"/><Relationship Id="rId20" Type="http://schemas.openxmlformats.org/officeDocument/2006/relationships/image" Target="media/image9.png"/><Relationship Id="rId2" Type="http://schemas.openxmlformats.org/officeDocument/2006/relationships/settings" Target="settings.xml"/><Relationship Id="rId19" Type="http://schemas.openxmlformats.org/officeDocument/2006/relationships/image" Target="media/image8.png"/><Relationship Id="rId18" Type="http://schemas.openxmlformats.org/officeDocument/2006/relationships/chart" Target="charts/chart5.xml"/><Relationship Id="rId17" Type="http://schemas.openxmlformats.org/officeDocument/2006/relationships/chart" Target="charts/chart4.xml"/><Relationship Id="rId16" Type="http://schemas.openxmlformats.org/officeDocument/2006/relationships/chart" Target="charts/chart3.xml"/><Relationship Id="rId15" Type="http://schemas.openxmlformats.org/officeDocument/2006/relationships/chart" Target="charts/chart2.xml"/><Relationship Id="rId14" Type="http://schemas.openxmlformats.org/officeDocument/2006/relationships/chart" Target="charts/chart1.xml"/><Relationship Id="rId13" Type="http://schemas.openxmlformats.org/officeDocument/2006/relationships/image" Target="media/image7.png"/><Relationship Id="rId12" Type="http://schemas.openxmlformats.org/officeDocument/2006/relationships/image" Target="media/image6.jpeg"/><Relationship Id="rId11" Type="http://schemas.openxmlformats.org/officeDocument/2006/relationships/image" Target="media/image5.jpeg"/><Relationship Id="rId10" Type="http://schemas.openxmlformats.org/officeDocument/2006/relationships/image" Target="media/image4.jpeg"/><Relationship Id="rId1" Type="http://schemas.openxmlformats.org/officeDocument/2006/relationships/styles" Target="styles.xml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oleObject" Target="file:///E:\&#20013;&#32844;&#24037;&#20316;2021\20210712&#30465;&#32423;&#25104;&#26524;&#30003;&#25253;\&#35838;&#39064;&#22270;&#26631;0210809.xlsx" TargetMode="External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oleObject" Target="file:///E:\&#20013;&#32844;&#24037;&#20316;2021\20210712&#30465;&#32423;&#25104;&#26524;&#30003;&#25253;\&#35838;&#39064;&#22270;&#34920;0210809.xlsx" TargetMode="External"/></Relationships>
</file>

<file path=word/charts/_rels/chart3.xml.rels><?xml version="1.0" encoding="UTF-8" standalone="yes"?>
<Relationships xmlns="http://schemas.openxmlformats.org/package/2006/relationships"><Relationship Id="rId1" Type="http://schemas.openxmlformats.org/officeDocument/2006/relationships/oleObject" Target="file:///E:\&#20013;&#32844;&#24037;&#20316;2021\20210712&#30465;&#32423;&#25104;&#26524;&#30003;&#25253;\&#35838;&#39064;&#22270;&#34920;0210809.xlsx" TargetMode="External"/></Relationships>
</file>

<file path=word/charts/_rels/chart4.xml.rels><?xml version="1.0" encoding="UTF-8" standalone="yes"?>
<Relationships xmlns="http://schemas.openxmlformats.org/package/2006/relationships"><Relationship Id="rId1" Type="http://schemas.openxmlformats.org/officeDocument/2006/relationships/oleObject" Target="file:///E:\&#20013;&#32844;&#24037;&#20316;2021\20210712&#30465;&#32423;&#25104;&#26524;&#30003;&#25253;\&#35838;&#39064;&#22270;&#34920;0210809.xlsx" TargetMode="External"/></Relationships>
</file>

<file path=word/charts/_rels/chart5.xml.rels><?xml version="1.0" encoding="UTF-8" standalone="yes"?>
<Relationships xmlns="http://schemas.openxmlformats.org/package/2006/relationships"><Relationship Id="rId1" Type="http://schemas.openxmlformats.org/officeDocument/2006/relationships/oleObject" Target="file:///E:\&#20013;&#32844;&#24037;&#20316;2021\20210712&#30465;&#32423;&#25104;&#26524;&#30003;&#25253;\&#35838;&#39064;&#22270;&#26631;0210809.xlsx" TargetMode="Externa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zh-CN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Sheet1!$F$42</c:f>
              <c:strCache>
                <c:ptCount val="1"/>
                <c:pt idx="0">
                  <c:v>企业</c:v>
                </c:pt>
              </c:strCache>
            </c:strRef>
          </c:tx>
          <c:spPr>
            <a:gradFill rotWithShape="1">
              <a:gsLst>
                <a:gs pos="0">
                  <a:srgbClr val="A3C4FF">
                    <a:tint val="50000"/>
                    <a:satMod val="300000"/>
                  </a:srgbClr>
                </a:gs>
                <a:gs pos="35000">
                  <a:srgbClr val="BFD5FF">
                    <a:tint val="37000"/>
                    <a:satMod val="300000"/>
                  </a:srgbClr>
                </a:gs>
                <a:gs pos="100000">
                  <a:srgbClr val="E5EEFF">
                    <a:tint val="15000"/>
                    <a:satMod val="350000"/>
                  </a:srgbClr>
                </a:gs>
              </a:gsLst>
              <a:lin ang="16200000" scaled="1"/>
            </a:gradFill>
            <a:ln w="9525" cap="flat" cmpd="sng" algn="ctr">
              <a:solidFill>
                <a:srgbClr val="4D7EB9">
                  <a:shade val="95000"/>
                </a:srgbClr>
              </a:solidFill>
              <a:round/>
            </a:ln>
            <a:effectLst>
              <a:outerShdw blurRad="40000" dist="20000" dir="5400000" rotWithShape="0">
                <a:srgbClr val="000000">
                  <a:alpha val="38000"/>
                </a:srgbClr>
              </a:outerShd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lang="zh-CN" sz="900" b="0" i="0" u="none" strike="noStrike" kern="1200" baseline="0">
                    <a:solidFill>
                      <a:srgbClr val="808080">
                        <a:lumMod val="50000"/>
                        <a:lumOff val="50000"/>
                      </a:srgbClr>
                    </a:solidFill>
                    <a:latin typeface="+mn-lt"/>
                    <a:ea typeface="+mn-ea"/>
                    <a:cs typeface="+mn-cs"/>
                  </a:defRPr>
                </a:pPr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rgbClr val="A6A6A6">
                          <a:lumMod val="35000"/>
                          <a:lumOff val="65000"/>
                        </a:srgbClr>
                      </a:solidFill>
                      <a:prstDash val="solid"/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Sheet1!$E$43:$E$48</c:f>
              <c:numCache>
                <c:formatCode>General</c:formatCode>
                <c:ptCount val="6"/>
                <c:pt idx="0">
                  <c:v>1987</c:v>
                </c:pt>
                <c:pt idx="1">
                  <c:v>1992</c:v>
                </c:pt>
                <c:pt idx="2">
                  <c:v>2000</c:v>
                </c:pt>
                <c:pt idx="3">
                  <c:v>2011</c:v>
                </c:pt>
                <c:pt idx="4">
                  <c:v>2014</c:v>
                </c:pt>
                <c:pt idx="5">
                  <c:v>2020</c:v>
                </c:pt>
              </c:numCache>
            </c:numRef>
          </c:cat>
          <c:val>
            <c:numRef>
              <c:f>Sheet1!$F$43:$F$48</c:f>
              <c:numCache>
                <c:formatCode>General</c:formatCode>
                <c:ptCount val="6"/>
                <c:pt idx="0">
                  <c:v>0</c:v>
                </c:pt>
                <c:pt idx="1">
                  <c:v>1</c:v>
                </c:pt>
                <c:pt idx="2">
                  <c:v>5</c:v>
                </c:pt>
                <c:pt idx="3">
                  <c:v>10</c:v>
                </c:pt>
                <c:pt idx="4">
                  <c:v>15</c:v>
                </c:pt>
                <c:pt idx="5">
                  <c:v>20</c:v>
                </c:pt>
              </c:numCache>
            </c:numRef>
          </c:val>
        </c:ser>
        <c:ser>
          <c:idx val="1"/>
          <c:order val="1"/>
          <c:tx>
            <c:strRef>
              <c:f>Sheet1!$G$42</c:f>
              <c:strCache>
                <c:ptCount val="1"/>
                <c:pt idx="0">
                  <c:v>家庭作坊</c:v>
                </c:pt>
              </c:strCache>
            </c:strRef>
          </c:tx>
          <c:spPr>
            <a:gradFill rotWithShape="1">
              <a:gsLst>
                <a:gs pos="0">
                  <a:srgbClr val="FFA2A1">
                    <a:tint val="50000"/>
                    <a:satMod val="300000"/>
                  </a:srgbClr>
                </a:gs>
                <a:gs pos="35000">
                  <a:srgbClr val="FFBEBD">
                    <a:tint val="37000"/>
                    <a:satMod val="300000"/>
                  </a:srgbClr>
                </a:gs>
                <a:gs pos="100000">
                  <a:srgbClr val="FFE5E5">
                    <a:tint val="15000"/>
                    <a:satMod val="350000"/>
                  </a:srgbClr>
                </a:gs>
              </a:gsLst>
              <a:lin ang="16200000" scaled="1"/>
            </a:gradFill>
            <a:ln w="9525" cap="flat" cmpd="sng" algn="ctr">
              <a:solidFill>
                <a:srgbClr val="BC4E4B">
                  <a:shade val="95000"/>
                </a:srgbClr>
              </a:solidFill>
              <a:round/>
            </a:ln>
            <a:effectLst>
              <a:outerShdw blurRad="40000" dist="20000" dir="5400000" rotWithShape="0">
                <a:srgbClr val="000000">
                  <a:alpha val="38000"/>
                </a:srgbClr>
              </a:outerShd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lang="zh-CN" sz="900" b="0" i="0" u="none" strike="noStrike" kern="1200" baseline="0">
                    <a:solidFill>
                      <a:srgbClr val="808080">
                        <a:lumMod val="50000"/>
                        <a:lumOff val="50000"/>
                      </a:srgbClr>
                    </a:solidFill>
                    <a:latin typeface="+mn-lt"/>
                    <a:ea typeface="+mn-ea"/>
                    <a:cs typeface="+mn-cs"/>
                  </a:defRPr>
                </a:pPr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rgbClr val="A6A6A6">
                          <a:lumMod val="35000"/>
                          <a:lumOff val="65000"/>
                        </a:srgbClr>
                      </a:solidFill>
                      <a:prstDash val="solid"/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Sheet1!$E$43:$E$48</c:f>
              <c:numCache>
                <c:formatCode>General</c:formatCode>
                <c:ptCount val="6"/>
                <c:pt idx="0">
                  <c:v>1987</c:v>
                </c:pt>
                <c:pt idx="1">
                  <c:v>1992</c:v>
                </c:pt>
                <c:pt idx="2">
                  <c:v>2000</c:v>
                </c:pt>
                <c:pt idx="3">
                  <c:v>2011</c:v>
                </c:pt>
                <c:pt idx="4">
                  <c:v>2014</c:v>
                </c:pt>
                <c:pt idx="5">
                  <c:v>2020</c:v>
                </c:pt>
              </c:numCache>
            </c:numRef>
          </c:cat>
          <c:val>
            <c:numRef>
              <c:f>Sheet1!$G$43:$G$48</c:f>
              <c:numCache>
                <c:formatCode>General</c:formatCode>
                <c:ptCount val="6"/>
                <c:pt idx="0">
                  <c:v>5</c:v>
                </c:pt>
                <c:pt idx="1">
                  <c:v>25</c:v>
                </c:pt>
                <c:pt idx="2">
                  <c:v>100</c:v>
                </c:pt>
                <c:pt idx="3">
                  <c:v>300</c:v>
                </c:pt>
                <c:pt idx="4">
                  <c:v>500</c:v>
                </c:pt>
                <c:pt idx="5">
                  <c:v>800</c:v>
                </c:pt>
              </c:numCache>
            </c:numRef>
          </c:val>
        </c:ser>
        <c:dLbls>
          <c:showLegendKey val="0"/>
          <c:showVal val="1"/>
          <c:showCatName val="0"/>
          <c:showSerName val="0"/>
          <c:showPercent val="0"/>
          <c:showBubbleSize val="0"/>
        </c:dLbls>
        <c:gapWidth val="100"/>
        <c:overlap val="-24"/>
        <c:axId val="359737216"/>
        <c:axId val="359738752"/>
      </c:barChart>
      <c:catAx>
        <c:axId val="359737216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rgbClr val="D9D9D9">
                <a:lumMod val="15000"/>
                <a:lumOff val="85000"/>
              </a:srgbClr>
            </a:solidFill>
            <a:prstDash val="solid"/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lang="zh-CN" sz="900" b="0" i="0" u="none" strike="noStrike" kern="1200" baseline="0">
                <a:solidFill>
                  <a:srgbClr val="808080">
                    <a:lumMod val="50000"/>
                    <a:lumOff val="50000"/>
                  </a:srgbClr>
                </a:solidFill>
                <a:latin typeface="+mn-lt"/>
                <a:ea typeface="+mn-ea"/>
                <a:cs typeface="+mn-cs"/>
              </a:defRPr>
            </a:pPr>
          </a:p>
        </c:txPr>
        <c:crossAx val="359738752"/>
        <c:crosses val="autoZero"/>
        <c:auto val="1"/>
        <c:lblAlgn val="ctr"/>
        <c:lblOffset val="100"/>
        <c:noMultiLvlLbl val="0"/>
      </c:catAx>
      <c:valAx>
        <c:axId val="359738752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rgbClr val="D9D9D9">
                  <a:lumMod val="15000"/>
                  <a:lumOff val="85000"/>
                </a:srgbClr>
              </a:solidFill>
              <a:prstDash val="solid"/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noFill/>
            <a:prstDash val="solid"/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lang="zh-CN" sz="900" b="0" i="0" u="none" strike="noStrike" kern="1200" baseline="0">
                <a:solidFill>
                  <a:srgbClr val="808080">
                    <a:lumMod val="50000"/>
                    <a:lumOff val="50000"/>
                  </a:srgbClr>
                </a:solidFill>
                <a:latin typeface="+mn-lt"/>
                <a:ea typeface="+mn-ea"/>
                <a:cs typeface="+mn-cs"/>
              </a:defRPr>
            </a:pPr>
          </a:p>
        </c:txPr>
        <c:crossAx val="359737216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layout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lang="zh-CN" sz="900" b="0" i="0" u="none" strike="noStrike" kern="1200" baseline="0">
              <a:solidFill>
                <a:srgbClr val="808080">
                  <a:lumMod val="50000"/>
                  <a:lumOff val="50000"/>
                </a:srgbClr>
              </a:solidFill>
              <a:latin typeface="+mn-lt"/>
              <a:ea typeface="+mn-ea"/>
              <a:cs typeface="+mn-cs"/>
            </a:defRPr>
          </a:pPr>
        </a:p>
      </c:txPr>
    </c:legend>
    <c:plotVisOnly val="1"/>
    <c:dispBlanksAs val="gap"/>
    <c:showDLblsOverMax val="0"/>
  </c:chart>
  <c:spPr>
    <a:solidFill>
      <a:srgbClr val="FFFFFF"/>
    </a:solidFill>
    <a:ln w="9525" cap="flat" cmpd="sng" algn="ctr">
      <a:solidFill>
        <a:srgbClr val="D9D9D9">
          <a:lumMod val="15000"/>
          <a:lumOff val="85000"/>
        </a:srgbClr>
      </a:solidFill>
      <a:prstDash val="solid"/>
      <a:round/>
    </a:ln>
    <a:effectLst/>
  </c:spPr>
  <c:txPr>
    <a:bodyPr/>
    <a:lstStyle/>
    <a:p>
      <a:pPr>
        <a:defRPr lang="zh-CN"/>
      </a:pPr>
    </a:p>
  </c:txPr>
  <c:externalData r:id="rId1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zh-CN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0.177731629392971"/>
          <c:y val="0.137722539469264"/>
          <c:w val="0.817476038338658"/>
          <c:h val="0.763654685925428"/>
        </c:manualLayout>
      </c:layout>
      <c:lineChart>
        <c:grouping val="standard"/>
        <c:varyColors val="0"/>
        <c:ser>
          <c:idx val="0"/>
          <c:order val="0"/>
          <c:tx>
            <c:strRef>
              <c:f>Sheet1!$F$19</c:f>
              <c:strCache>
                <c:ptCount val="1"/>
                <c:pt idx="0">
                  <c:v>竹产业我校人数占比</c:v>
                </c:pt>
              </c:strCache>
            </c:strRef>
          </c:tx>
          <c:spPr>
            <a:ln w="22225" cap="rnd" cmpd="sng" algn="ctr">
              <a:solidFill>
                <a:schemeClr val="accent1"/>
              </a:solidFill>
              <a:prstDash val="solid"/>
              <a:round/>
            </a:ln>
            <a:effectLst/>
          </c:spPr>
          <c:marker>
            <c:symbol val="none"/>
          </c:marker>
          <c:dLbls>
            <c:spPr>
              <a:noFill/>
              <a:ln>
                <a:noFill/>
              </a:ln>
              <a:effectLst/>
            </c:spPr>
            <c:txPr>
              <a:bodyPr rot="0" spcFirstLastPara="0" vertOverflow="ellipsis" vert="horz" wrap="square" lIns="38100" tIns="19050" rIns="38100" bIns="19050" anchor="ctr" anchorCtr="1"/>
              <a:lstStyle/>
              <a:p>
                <a:pPr>
                  <a:defRPr lang="zh-CN" sz="900" b="0" i="0" u="none" strike="noStrike" kern="1200" baseline="0">
                    <a:solidFill>
                      <a:schemeClr val="dk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</a:p>
            </c:txPr>
            <c:dLblPos val="ctr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dk1">
                          <a:lumMod val="35000"/>
                          <a:lumOff val="65000"/>
                        </a:schemeClr>
                      </a:solidFill>
                      <a:prstDash val="solid"/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Sheet1!$E$20:$E$25</c:f>
              <c:numCache>
                <c:formatCode>General</c:formatCode>
                <c:ptCount val="6"/>
                <c:pt idx="0">
                  <c:v>1987</c:v>
                </c:pt>
                <c:pt idx="1">
                  <c:v>1992</c:v>
                </c:pt>
                <c:pt idx="2">
                  <c:v>2000</c:v>
                </c:pt>
                <c:pt idx="3">
                  <c:v>2011</c:v>
                </c:pt>
                <c:pt idx="4">
                  <c:v>2014</c:v>
                </c:pt>
                <c:pt idx="5">
                  <c:v>2020</c:v>
                </c:pt>
              </c:numCache>
            </c:numRef>
          </c:cat>
          <c:val>
            <c:numRef>
              <c:f>Sheet1!$F$20:$F$25</c:f>
              <c:numCache>
                <c:formatCode>0.00%</c:formatCode>
                <c:ptCount val="6"/>
                <c:pt idx="0">
                  <c:v>0.333333333333333</c:v>
                </c:pt>
                <c:pt idx="1">
                  <c:v>0.666666666666667</c:v>
                </c:pt>
                <c:pt idx="2">
                  <c:v>0.857142857142857</c:v>
                </c:pt>
                <c:pt idx="3">
                  <c:v>0.892857142857143</c:v>
                </c:pt>
                <c:pt idx="4">
                  <c:v>0.942857142857143</c:v>
                </c:pt>
                <c:pt idx="5">
                  <c:v>0.961538461538462</c:v>
                </c:pt>
              </c:numCache>
            </c:numRef>
          </c:val>
          <c:smooth val="0"/>
        </c:ser>
        <c:dLbls>
          <c:showLegendKey val="0"/>
          <c:showVal val="1"/>
          <c:showCatName val="0"/>
          <c:showSerName val="0"/>
          <c:showPercent val="0"/>
          <c:showBubbleSize val="0"/>
        </c:dLbls>
        <c:dropLines>
          <c:spPr>
            <a:ln w="9525" cap="flat" cmpd="sng" algn="ctr">
              <a:solidFill>
                <a:schemeClr val="dk1">
                  <a:lumMod val="35000"/>
                  <a:lumOff val="65000"/>
                  <a:alpha val="33000"/>
                </a:schemeClr>
              </a:solidFill>
              <a:prstDash val="solid"/>
              <a:round/>
            </a:ln>
            <a:effectLst/>
          </c:spPr>
        </c:dropLines>
        <c:marker val="0"/>
        <c:smooth val="0"/>
        <c:axId val="338386304"/>
        <c:axId val="338400384"/>
      </c:lineChart>
      <c:catAx>
        <c:axId val="338386304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dk1">
                <a:lumMod val="15000"/>
                <a:lumOff val="85000"/>
              </a:schemeClr>
            </a:solidFill>
            <a:prstDash val="solid"/>
            <a:round/>
          </a:ln>
          <a:effectLst/>
        </c:spPr>
        <c:txPr>
          <a:bodyPr rot="-60000000" spcFirstLastPara="0" vertOverflow="ellipsis" vert="horz" wrap="square" anchor="ctr" anchorCtr="1"/>
          <a:lstStyle/>
          <a:p>
            <a:pPr>
              <a:defRPr lang="zh-CN" sz="900" b="0" i="0" u="none" strike="noStrike" kern="1200" spc="20" baseline="0">
                <a:solidFill>
                  <a:schemeClr val="dk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</a:p>
        </c:txPr>
        <c:crossAx val="338400384"/>
        <c:crosses val="autoZero"/>
        <c:auto val="1"/>
        <c:lblAlgn val="ctr"/>
        <c:lblOffset val="100"/>
        <c:noMultiLvlLbl val="0"/>
      </c:catAx>
      <c:valAx>
        <c:axId val="338400384"/>
        <c:scaling>
          <c:orientation val="minMax"/>
          <c:max val="1"/>
        </c:scaling>
        <c:delete val="0"/>
        <c:axPos val="l"/>
        <c:numFmt formatCode="0.00%" sourceLinked="1"/>
        <c:majorTickMark val="none"/>
        <c:minorTickMark val="none"/>
        <c:tickLblPos val="nextTo"/>
        <c:spPr>
          <a:noFill/>
          <a:ln w="9525" cap="flat" cmpd="sng" algn="ctr">
            <a:noFill/>
            <a:prstDash val="solid"/>
            <a:round/>
          </a:ln>
          <a:effectLst/>
        </c:spPr>
        <c:txPr>
          <a:bodyPr rot="-60000000" spcFirstLastPara="0" vertOverflow="ellipsis" vert="horz" wrap="square" anchor="ctr" anchorCtr="1"/>
          <a:lstStyle/>
          <a:p>
            <a:pPr>
              <a:defRPr lang="zh-CN" sz="900" b="0" i="0" u="none" strike="noStrike" kern="1200" spc="20" baseline="0">
                <a:solidFill>
                  <a:schemeClr val="dk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</a:p>
        </c:txPr>
        <c:crossAx val="338386304"/>
        <c:crosses val="autoZero"/>
        <c:crossBetween val="between"/>
      </c:valAx>
      <c:spPr>
        <a:gradFill>
          <a:gsLst>
            <a:gs pos="100000">
              <a:schemeClr val="lt1">
                <a:lumMod val="95000"/>
              </a:schemeClr>
            </a:gs>
            <a:gs pos="0">
              <a:schemeClr val="lt1"/>
            </a:gs>
          </a:gsLst>
          <a:lin ang="5400000" scaled="0"/>
        </a:gradFill>
        <a:ln>
          <a:noFill/>
        </a:ln>
        <a:effectLst/>
      </c:spPr>
    </c:plotArea>
    <c:plotVisOnly val="1"/>
    <c:dispBlanksAs val="gap"/>
    <c:showDLblsOverMax val="0"/>
  </c:chart>
  <c:spPr>
    <a:solidFill>
      <a:schemeClr val="lt1"/>
    </a:solidFill>
    <a:ln w="9525" cap="flat" cmpd="sng" algn="ctr">
      <a:solidFill>
        <a:schemeClr val="dk1">
          <a:lumMod val="15000"/>
          <a:lumOff val="85000"/>
        </a:schemeClr>
      </a:solidFill>
      <a:prstDash val="solid"/>
      <a:round/>
    </a:ln>
    <a:effectLst/>
  </c:spPr>
  <c:txPr>
    <a:bodyPr/>
    <a:lstStyle/>
    <a:p>
      <a:pPr>
        <a:defRPr lang="zh-CN"/>
      </a:pPr>
    </a:p>
  </c:txPr>
  <c:externalData r:id="rId1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zh-CN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lang="zh-CN" sz="1100" b="1" i="0" u="none" strike="noStrike" kern="1200" baseline="0">
                <a:solidFill>
                  <a:srgbClr val="595959">
                    <a:lumMod val="65000"/>
                    <a:lumOff val="35000"/>
                  </a:srgbClr>
                </a:solidFill>
                <a:latin typeface="+mn-lt"/>
                <a:ea typeface="+mn-ea"/>
                <a:cs typeface="+mn-cs"/>
              </a:defRPr>
            </a:pPr>
            <a:r>
              <a:rPr lang="zh-CN" sz="1100"/>
              <a:t>培养人数</a:t>
            </a:r>
            <a:r>
              <a:rPr lang="en-US" sz="1100"/>
              <a:t>18000</a:t>
            </a:r>
            <a:endParaRPr lang="zh-CN" sz="1100"/>
          </a:p>
        </c:rich>
      </c:tx>
      <c:layout>
        <c:manualLayout>
          <c:xMode val="edge"/>
          <c:yMode val="edge"/>
          <c:x val="0.697847208992189"/>
          <c:y val="0.911468812877264"/>
        </c:manualLayout>
      </c:layout>
      <c:overlay val="0"/>
      <c:spPr>
        <a:noFill/>
        <a:ln>
          <a:noFill/>
        </a:ln>
        <a:effectLst/>
      </c:spPr>
    </c:title>
    <c:autoTitleDeleted val="0"/>
    <c:plotArea>
      <c:layout>
        <c:manualLayout>
          <c:layoutTarget val="inner"/>
          <c:xMode val="edge"/>
          <c:yMode val="edge"/>
          <c:x val="0.0366152230971129"/>
          <c:y val="0.0234165927934505"/>
          <c:w val="0.792701312335958"/>
          <c:h val="0.918693573899289"/>
        </c:manualLayout>
      </c:layout>
      <c:pieChart>
        <c:varyColors val="1"/>
        <c:ser>
          <c:idx val="0"/>
          <c:order val="0"/>
          <c:tx>
            <c:strRef>
              <c:f>Sheet1!$F$50</c:f>
              <c:strCache>
                <c:ptCount val="1"/>
                <c:pt idx="0">
                  <c:v>培养人数(人）</c:v>
                </c:pt>
              </c:strCache>
            </c:strRef>
          </c:tx>
          <c:explosion val="0"/>
          <c:dPt>
            <c:idx val="0"/>
            <c:bubble3D val="0"/>
            <c:spPr>
              <a:solidFill>
                <a:srgbClr val="4F81BD"/>
              </a:solidFill>
              <a:ln>
                <a:noFill/>
              </a:ln>
              <a:effectLst>
                <a:outerShdw blurRad="317500" algn="ctr" rotWithShape="0">
                  <a:prstClr val="black">
                    <a:alpha val="25000"/>
                  </a:prstClr>
                </a:outerShdw>
              </a:effectLst>
            </c:spPr>
          </c:dPt>
          <c:dPt>
            <c:idx val="1"/>
            <c:bubble3D val="0"/>
            <c:spPr>
              <a:solidFill>
                <a:srgbClr val="C0504D"/>
              </a:solidFill>
              <a:ln>
                <a:noFill/>
              </a:ln>
              <a:effectLst>
                <a:outerShdw blurRad="317500" algn="ctr" rotWithShape="0">
                  <a:prstClr val="black">
                    <a:alpha val="25000"/>
                  </a:prstClr>
                </a:outerShdw>
              </a:effectLst>
            </c:spPr>
          </c:dPt>
          <c:dPt>
            <c:idx val="2"/>
            <c:bubble3D val="0"/>
            <c:spPr>
              <a:solidFill>
                <a:srgbClr val="9BBB59"/>
              </a:solidFill>
              <a:ln>
                <a:noFill/>
              </a:ln>
              <a:effectLst>
                <a:outerShdw blurRad="317500" algn="ctr" rotWithShape="0">
                  <a:prstClr val="black">
                    <a:alpha val="25000"/>
                  </a:prstClr>
                </a:outerShdw>
              </a:effectLst>
            </c:spPr>
          </c:dPt>
          <c:dPt>
            <c:idx val="3"/>
            <c:bubble3D val="0"/>
            <c:spPr>
              <a:solidFill>
                <a:srgbClr val="8064A2"/>
              </a:solidFill>
              <a:ln>
                <a:noFill/>
              </a:ln>
              <a:effectLst>
                <a:outerShdw blurRad="317500" algn="ctr" rotWithShape="0">
                  <a:prstClr val="black">
                    <a:alpha val="25000"/>
                  </a:prstClr>
                </a:outerShdw>
              </a:effectLst>
            </c:spPr>
          </c:dPt>
          <c:dPt>
            <c:idx val="4"/>
            <c:bubble3D val="0"/>
            <c:spPr>
              <a:solidFill>
                <a:srgbClr val="4BACC6"/>
              </a:solidFill>
              <a:ln>
                <a:noFill/>
              </a:ln>
              <a:effectLst>
                <a:outerShdw blurRad="317500" algn="ctr" rotWithShape="0">
                  <a:prstClr val="black">
                    <a:alpha val="25000"/>
                  </a:prstClr>
                </a:outerShdw>
              </a:effectLst>
            </c:spPr>
          </c:dPt>
          <c:dPt>
            <c:idx val="5"/>
            <c:bubble3D val="0"/>
            <c:spPr>
              <a:solidFill>
                <a:srgbClr val="F79646"/>
              </a:solidFill>
              <a:ln>
                <a:noFill/>
              </a:ln>
              <a:effectLst>
                <a:outerShdw blurRad="317500" algn="ctr" rotWithShape="0">
                  <a:prstClr val="black">
                    <a:alpha val="25000"/>
                  </a:prstClr>
                </a:outerShdw>
              </a:effectLst>
            </c:spPr>
          </c:dPt>
          <c:dPt>
            <c:idx val="6"/>
            <c:bubble3D val="0"/>
            <c:spPr>
              <a:solidFill>
                <a:srgbClr val="2C4D75">
                  <a:lumMod val="60000"/>
                </a:srgbClr>
              </a:solidFill>
              <a:ln>
                <a:noFill/>
              </a:ln>
              <a:effectLst>
                <a:outerShdw blurRad="317500" algn="ctr" rotWithShape="0">
                  <a:prstClr val="black">
                    <a:alpha val="25000"/>
                  </a:prstClr>
                </a:outerShdw>
              </a:effectLst>
            </c:spPr>
          </c:dPt>
          <c:dPt>
            <c:idx val="7"/>
            <c:bubble3D val="0"/>
            <c:spPr>
              <a:solidFill>
                <a:srgbClr val="772C2A">
                  <a:lumMod val="60000"/>
                </a:srgbClr>
              </a:solidFill>
              <a:ln>
                <a:noFill/>
              </a:ln>
              <a:effectLst>
                <a:outerShdw blurRad="317500" algn="ctr" rotWithShape="0">
                  <a:prstClr val="black">
                    <a:alpha val="25000"/>
                  </a:prstClr>
                </a:outerShdw>
              </a:effectLst>
            </c:spPr>
          </c:dPt>
          <c:dPt>
            <c:idx val="8"/>
            <c:bubble3D val="0"/>
            <c:spPr>
              <a:solidFill>
                <a:srgbClr val="5F7530">
                  <a:lumMod val="60000"/>
                </a:srgbClr>
              </a:solidFill>
              <a:ln>
                <a:noFill/>
              </a:ln>
              <a:effectLst>
                <a:outerShdw blurRad="317500" algn="ctr" rotWithShape="0">
                  <a:prstClr val="black">
                    <a:alpha val="25000"/>
                  </a:prstClr>
                </a:outerShdw>
              </a:effectLst>
            </c:spPr>
          </c:dPt>
          <c:dPt>
            <c:idx val="9"/>
            <c:bubble3D val="0"/>
            <c:spPr>
              <a:solidFill>
                <a:srgbClr val="4D3B62">
                  <a:lumMod val="60000"/>
                </a:srgbClr>
              </a:solidFill>
              <a:ln>
                <a:noFill/>
              </a:ln>
              <a:effectLst>
                <a:outerShdw blurRad="317500" algn="ctr" rotWithShape="0">
                  <a:prstClr val="black">
                    <a:alpha val="25000"/>
                  </a:prstClr>
                </a:outerShdw>
              </a:effectLst>
            </c:spPr>
          </c:dPt>
          <c:dPt>
            <c:idx val="10"/>
            <c:bubble3D val="0"/>
            <c:spPr>
              <a:solidFill>
                <a:srgbClr val="276A7C">
                  <a:lumMod val="60000"/>
                </a:srgbClr>
              </a:solidFill>
              <a:ln>
                <a:noFill/>
              </a:ln>
              <a:effectLst>
                <a:outerShdw blurRad="317500" algn="ctr" rotWithShape="0">
                  <a:prstClr val="black">
                    <a:alpha val="25000"/>
                  </a:prstClr>
                </a:outerShdw>
              </a:effectLst>
            </c:spPr>
          </c:dPt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lang="zh-CN" sz="900" b="1" i="0" u="none" strike="noStrike" kern="1200" baseline="0">
                    <a:solidFill>
                      <a:srgbClr val="FFFFFF"/>
                    </a:solidFill>
                    <a:latin typeface="+mn-lt"/>
                    <a:ea typeface="+mn-ea"/>
                    <a:cs typeface="+mn-cs"/>
                  </a:defRPr>
                </a:pPr>
              </a:p>
            </c:txPr>
            <c:dLblPos val="inEnd"/>
            <c:showLegendKey val="0"/>
            <c:showVal val="0"/>
            <c:showCatName val="1"/>
            <c:showSerName val="0"/>
            <c:showPercent val="1"/>
            <c:showBubbleSize val="0"/>
            <c:showLeaderLines val="1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rgbClr val="A6A6A6">
                          <a:lumMod val="35000"/>
                          <a:lumOff val="65000"/>
                        </a:srgbClr>
                      </a:solidFill>
                      <a:prstDash val="solid"/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Sheet1!$E$51:$E$61</c:f>
              <c:strCache>
                <c:ptCount val="11"/>
                <c:pt idx="0">
                  <c:v>印尼</c:v>
                </c:pt>
                <c:pt idx="1">
                  <c:v>菲律宾</c:v>
                </c:pt>
                <c:pt idx="2">
                  <c:v>孟加拉</c:v>
                </c:pt>
                <c:pt idx="3">
                  <c:v>越南</c:v>
                </c:pt>
                <c:pt idx="4">
                  <c:v>泰国</c:v>
                </c:pt>
                <c:pt idx="5">
                  <c:v>缅甸</c:v>
                </c:pt>
                <c:pt idx="6">
                  <c:v> 坦桑尼亚</c:v>
                </c:pt>
                <c:pt idx="7">
                  <c:v>喀麦隆</c:v>
                </c:pt>
                <c:pt idx="8">
                  <c:v>秘鲁</c:v>
                </c:pt>
                <c:pt idx="9">
                  <c:v>加拿大</c:v>
                </c:pt>
                <c:pt idx="10">
                  <c:v>其他</c:v>
                </c:pt>
              </c:strCache>
            </c:strRef>
          </c:cat>
          <c:val>
            <c:numRef>
              <c:f>Sheet1!$F$51:$F$61</c:f>
              <c:numCache>
                <c:formatCode>General</c:formatCode>
                <c:ptCount val="11"/>
                <c:pt idx="0">
                  <c:v>1800</c:v>
                </c:pt>
                <c:pt idx="1">
                  <c:v>2100</c:v>
                </c:pt>
                <c:pt idx="2">
                  <c:v>1600</c:v>
                </c:pt>
                <c:pt idx="3">
                  <c:v>1200</c:v>
                </c:pt>
                <c:pt idx="4">
                  <c:v>1600</c:v>
                </c:pt>
                <c:pt idx="5">
                  <c:v>2100</c:v>
                </c:pt>
                <c:pt idx="6">
                  <c:v>1800</c:v>
                </c:pt>
                <c:pt idx="7">
                  <c:v>1200</c:v>
                </c:pt>
                <c:pt idx="8">
                  <c:v>800</c:v>
                </c:pt>
                <c:pt idx="9">
                  <c:v>800</c:v>
                </c:pt>
                <c:pt idx="10">
                  <c:v>3000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1"/>
          <c:showBubbleSize val="0"/>
          <c:showLeaderLines val="1"/>
        </c:dLbls>
        <c:firstSliceAng val="0"/>
      </c:pieChart>
      <c:spPr>
        <a:noFill/>
        <a:ln>
          <a:noFill/>
        </a:ln>
        <a:effectLst/>
      </c:spPr>
    </c:plotArea>
    <c:plotVisOnly val="1"/>
    <c:dispBlanksAs val="gap"/>
    <c:showDLblsOverMax val="0"/>
  </c:chart>
  <c:spPr>
    <a:pattFill prst="dkDnDiag">
      <a:fgClr>
        <a:srgbClr val="F2F2F2">
          <a:lumMod val="95000"/>
        </a:srgbClr>
      </a:fgClr>
      <a:bgClr>
        <a:srgbClr val="FFFFFF"/>
      </a:bgClr>
    </a:pattFill>
    <a:ln w="9525" cap="flat" cmpd="sng" algn="ctr">
      <a:solidFill>
        <a:srgbClr val="D9D9D9">
          <a:lumMod val="15000"/>
          <a:lumOff val="85000"/>
        </a:srgbClr>
      </a:solidFill>
      <a:prstDash val="solid"/>
      <a:round/>
    </a:ln>
    <a:effectLst/>
  </c:spPr>
  <c:txPr>
    <a:bodyPr/>
    <a:lstStyle/>
    <a:p>
      <a:pPr>
        <a:defRPr lang="zh-CN"/>
      </a:pPr>
    </a:p>
  </c:txPr>
  <c:externalData r:id="rId1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zh-CN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0.160893734437042"/>
          <c:y val="0.0743053364998797"/>
          <c:w val="0.810646134607135"/>
          <c:h val="0.669622919557003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Sheet1!$E$11</c:f>
              <c:strCache>
                <c:ptCount val="1"/>
                <c:pt idx="0">
                  <c:v>竹产业人员总数（人）</c:v>
                </c:pt>
              </c:strCache>
            </c:strRef>
          </c:tx>
          <c:spPr>
            <a:solidFill>
              <a:srgbClr val="4F81BD"/>
            </a:solidFill>
            <a:ln>
              <a:noFill/>
            </a:ln>
            <a:effectLst/>
          </c:spPr>
          <c:invertIfNegative val="0"/>
          <c:dLbls>
            <c:dLbl>
              <c:idx val="1"/>
              <c:layout>
                <c:manualLayout>
                  <c:x val="-3.68134970834313e-17"/>
                  <c:y val="0.0161943388671784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dLbl>
              <c:idx val="2"/>
              <c:layout>
                <c:manualLayout>
                  <c:x val="0"/>
                  <c:y val="0.0215924518229044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dLbl>
              <c:idx val="3"/>
              <c:layout>
                <c:manualLayout>
                  <c:x val="0.00401606425702804"/>
                  <c:y val="0.0161943388671783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dLbl>
              <c:idx val="4"/>
              <c:layout>
                <c:manualLayout>
                  <c:x val="-0.00401606425702826"/>
                  <c:y val="0.0215924518229045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dLbl>
              <c:idx val="5"/>
              <c:layout>
                <c:manualLayout>
                  <c:x val="-0.00401606425702826"/>
                  <c:y val="0.0215924518229045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lang="zh-CN" sz="900" b="0" i="0" u="none" strike="noStrike" kern="1200" baseline="0">
                    <a:solidFill>
                      <a:srgbClr val="404040">
                        <a:lumMod val="75000"/>
                        <a:lumOff val="25000"/>
                      </a:srgbClr>
                    </a:solidFill>
                    <a:latin typeface="+mn-lt"/>
                    <a:ea typeface="+mn-ea"/>
                    <a:cs typeface="+mn-cs"/>
                  </a:defRPr>
                </a:pPr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0"/>
                <c15:leaderLines>
                  <c:spPr>
                    <a:ln w="9525" cap="flat" cmpd="sng" algn="ctr">
                      <a:solidFill>
                        <a:srgbClr val="A6A6A6">
                          <a:lumMod val="35000"/>
                          <a:lumOff val="65000"/>
                        </a:srgbClr>
                      </a:solidFill>
                      <a:prstDash val="solid"/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Sheet1!$F$10:$K$10</c:f>
              <c:numCache>
                <c:formatCode>General</c:formatCode>
                <c:ptCount val="6"/>
                <c:pt idx="0">
                  <c:v>1987</c:v>
                </c:pt>
                <c:pt idx="1">
                  <c:v>1992</c:v>
                </c:pt>
                <c:pt idx="2">
                  <c:v>2000</c:v>
                </c:pt>
                <c:pt idx="3">
                  <c:v>2011</c:v>
                </c:pt>
                <c:pt idx="4">
                  <c:v>2014</c:v>
                </c:pt>
                <c:pt idx="5">
                  <c:v>2020</c:v>
                </c:pt>
              </c:numCache>
            </c:numRef>
          </c:cat>
          <c:val>
            <c:numRef>
              <c:f>Sheet1!$F$11:$K$11</c:f>
              <c:numCache>
                <c:formatCode>General</c:formatCode>
                <c:ptCount val="6"/>
                <c:pt idx="0">
                  <c:v>3000</c:v>
                </c:pt>
                <c:pt idx="1">
                  <c:v>12000</c:v>
                </c:pt>
                <c:pt idx="2">
                  <c:v>21000</c:v>
                </c:pt>
                <c:pt idx="3">
                  <c:v>28000</c:v>
                </c:pt>
                <c:pt idx="4">
                  <c:v>35000</c:v>
                </c:pt>
                <c:pt idx="5">
                  <c:v>52000</c:v>
                </c:pt>
              </c:numCache>
            </c:numRef>
          </c:val>
        </c:ser>
        <c:ser>
          <c:idx val="1"/>
          <c:order val="1"/>
          <c:tx>
            <c:strRef>
              <c:f>Sheet1!$E$12</c:f>
              <c:strCache>
                <c:ptCount val="1"/>
                <c:pt idx="0">
                  <c:v>我校培养/培训人数（人）</c:v>
                </c:pt>
              </c:strCache>
            </c:strRef>
          </c:tx>
          <c:spPr>
            <a:solidFill>
              <a:srgbClr val="C0504D"/>
            </a:solidFill>
            <a:ln>
              <a:noFill/>
            </a:ln>
            <a:effectLst/>
          </c:spPr>
          <c:invertIfNegative val="0"/>
          <c:dLbls>
            <c:dLbl>
              <c:idx val="0"/>
              <c:layout/>
              <c:dLblPos val="inBase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/>
              <c:numFmt formatCode="General" sourceLinked="0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lang="zh-CN" sz="900" b="0" i="0" u="none" strike="noStrike" kern="1200" baseline="0">
                      <a:solidFill>
                        <a:srgbClr val="404040">
                          <a:lumMod val="75000"/>
                          <a:lumOff val="25000"/>
                        </a:srgbClr>
                      </a:solidFill>
                      <a:latin typeface="+mn-lt"/>
                      <a:ea typeface="+mn-ea"/>
                      <a:cs typeface="+mn-cs"/>
                    </a:defRPr>
                  </a:pPr>
                </a:p>
              </c:txPr>
              <c:dLblPos val="ct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lang="zh-CN" sz="900" b="0" i="0" u="none" strike="noStrike" kern="1200" baseline="0">
                    <a:solidFill>
                      <a:srgbClr val="404040">
                        <a:lumMod val="75000"/>
                        <a:lumOff val="25000"/>
                      </a:srgbClr>
                    </a:solidFill>
                    <a:latin typeface="+mn-lt"/>
                    <a:ea typeface="+mn-ea"/>
                    <a:cs typeface="+mn-cs"/>
                  </a:defRPr>
                </a:pPr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rgbClr val="A6A6A6">
                          <a:lumMod val="35000"/>
                          <a:lumOff val="65000"/>
                        </a:srgbClr>
                      </a:solidFill>
                      <a:prstDash val="solid"/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Sheet1!$F$10:$K$10</c:f>
              <c:numCache>
                <c:formatCode>General</c:formatCode>
                <c:ptCount val="6"/>
                <c:pt idx="0">
                  <c:v>1987</c:v>
                </c:pt>
                <c:pt idx="1">
                  <c:v>1992</c:v>
                </c:pt>
                <c:pt idx="2">
                  <c:v>2000</c:v>
                </c:pt>
                <c:pt idx="3">
                  <c:v>2011</c:v>
                </c:pt>
                <c:pt idx="4">
                  <c:v>2014</c:v>
                </c:pt>
                <c:pt idx="5">
                  <c:v>2020</c:v>
                </c:pt>
              </c:numCache>
            </c:numRef>
          </c:cat>
          <c:val>
            <c:numRef>
              <c:f>Sheet1!$F$12:$K$12</c:f>
              <c:numCache>
                <c:formatCode>General</c:formatCode>
                <c:ptCount val="6"/>
                <c:pt idx="0">
                  <c:v>1000</c:v>
                </c:pt>
                <c:pt idx="1">
                  <c:v>8000</c:v>
                </c:pt>
                <c:pt idx="2">
                  <c:v>18000</c:v>
                </c:pt>
                <c:pt idx="3">
                  <c:v>25000</c:v>
                </c:pt>
                <c:pt idx="4">
                  <c:v>33000</c:v>
                </c:pt>
                <c:pt idx="5">
                  <c:v>50000</c:v>
                </c:pt>
              </c:numCache>
            </c:numRef>
          </c:val>
        </c:ser>
        <c:dLbls>
          <c:showLegendKey val="0"/>
          <c:showVal val="1"/>
          <c:showCatName val="0"/>
          <c:showSerName val="0"/>
          <c:showPercent val="0"/>
          <c:showBubbleSize val="0"/>
        </c:dLbls>
        <c:gapWidth val="267"/>
        <c:overlap val="-43"/>
        <c:axId val="338249600"/>
        <c:axId val="338251136"/>
      </c:barChart>
      <c:catAx>
        <c:axId val="338249600"/>
        <c:scaling>
          <c:orientation val="minMax"/>
        </c:scaling>
        <c:delete val="0"/>
        <c:axPos val="b"/>
        <c:majorGridlines>
          <c:spPr>
            <a:ln w="9525" cap="flat" cmpd="sng" algn="ctr">
              <a:solidFill>
                <a:srgbClr val="D9D9D9">
                  <a:lumMod val="15000"/>
                  <a:lumOff val="85000"/>
                </a:srgbClr>
              </a:solidFill>
              <a:prstDash val="solid"/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rgbClr val="D9D9D9">
                <a:lumMod val="15000"/>
                <a:lumOff val="85000"/>
              </a:srgbClr>
            </a:solidFill>
            <a:prstDash val="solid"/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lang="zh-CN" sz="900" b="0" i="0" u="none" strike="noStrike" kern="1200" cap="none" spc="0" normalizeH="0" baseline="0">
                <a:solidFill>
                  <a:srgbClr val="595959">
                    <a:lumMod val="65000"/>
                    <a:lumOff val="35000"/>
                  </a:srgbClr>
                </a:solidFill>
                <a:latin typeface="+mn-lt"/>
                <a:ea typeface="+mn-ea"/>
                <a:cs typeface="+mn-cs"/>
              </a:defRPr>
            </a:pPr>
          </a:p>
        </c:txPr>
        <c:crossAx val="338251136"/>
        <c:crosses val="autoZero"/>
        <c:auto val="1"/>
        <c:lblAlgn val="ctr"/>
        <c:lblOffset val="100"/>
        <c:noMultiLvlLbl val="0"/>
      </c:catAx>
      <c:valAx>
        <c:axId val="338251136"/>
        <c:scaling>
          <c:orientation val="minMax"/>
          <c:max val="60000"/>
          <c:min val="0"/>
        </c:scaling>
        <c:delete val="0"/>
        <c:axPos val="l"/>
        <c:majorGridlines>
          <c:spPr>
            <a:ln w="9525" cap="flat" cmpd="sng" algn="ctr">
              <a:solidFill>
                <a:srgbClr val="D9D9D9">
                  <a:lumMod val="15000"/>
                  <a:lumOff val="85000"/>
                </a:srgbClr>
              </a:solidFill>
              <a:prstDash val="solid"/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noFill/>
            <a:prstDash val="solid"/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lang="zh-CN" sz="900" b="0" i="0" u="none" strike="noStrike" kern="1200" baseline="0">
                <a:solidFill>
                  <a:srgbClr val="595959">
                    <a:lumMod val="65000"/>
                    <a:lumOff val="35000"/>
                  </a:srgbClr>
                </a:solidFill>
                <a:latin typeface="+mn-lt"/>
                <a:ea typeface="+mn-ea"/>
                <a:cs typeface="+mn-cs"/>
              </a:defRPr>
            </a:pPr>
          </a:p>
        </c:txPr>
        <c:crossAx val="338249600"/>
        <c:crosses val="autoZero"/>
        <c:crossBetween val="between"/>
      </c:valAx>
      <c:spPr>
        <a:pattFill prst="ltDnDiag">
          <a:fgClr>
            <a:srgbClr val="D9D9D9">
              <a:lumMod val="15000"/>
              <a:lumOff val="85000"/>
            </a:srgbClr>
          </a:fgClr>
          <a:bgClr>
            <a:srgbClr val="FFFFFF"/>
          </a:bgClr>
        </a:pattFill>
        <a:ln>
          <a:noFill/>
        </a:ln>
        <a:effectLst/>
      </c:spPr>
    </c:plotArea>
    <c:legend>
      <c:legendPos val="b"/>
      <c:layout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lang="zh-CN" sz="900" b="0" i="0" u="none" strike="noStrike" kern="1200" baseline="0">
              <a:solidFill>
                <a:srgbClr val="595959">
                  <a:lumMod val="65000"/>
                  <a:lumOff val="35000"/>
                </a:srgbClr>
              </a:solidFill>
              <a:latin typeface="+mn-lt"/>
              <a:ea typeface="+mn-ea"/>
              <a:cs typeface="+mn-cs"/>
            </a:defRPr>
          </a:pPr>
        </a:p>
      </c:txPr>
    </c:legend>
    <c:plotVisOnly val="1"/>
    <c:dispBlanksAs val="gap"/>
    <c:showDLblsOverMax val="0"/>
  </c:chart>
  <c:spPr>
    <a:solidFill>
      <a:srgbClr val="FFFFFF"/>
    </a:solidFill>
    <a:ln w="9525" cap="flat" cmpd="sng" algn="ctr">
      <a:solidFill>
        <a:srgbClr val="D9D9D9">
          <a:lumMod val="15000"/>
          <a:lumOff val="85000"/>
        </a:srgbClr>
      </a:solidFill>
      <a:prstDash val="solid"/>
      <a:round/>
    </a:ln>
    <a:effectLst/>
  </c:spPr>
  <c:txPr>
    <a:bodyPr/>
    <a:lstStyle/>
    <a:p>
      <a:pPr>
        <a:defRPr lang="zh-CN"/>
      </a:pPr>
    </a:p>
  </c:txPr>
  <c:externalData r:id="rId1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zh-CN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Sheet1!$E$30</c:f>
              <c:strCache>
                <c:ptCount val="1"/>
                <c:pt idx="0">
                  <c:v>1987</c:v>
                </c:pt>
              </c:strCache>
            </c:strRef>
          </c:tx>
          <c:spPr>
            <a:gradFill rotWithShape="1">
              <a:gsLst>
                <a:gs pos="0">
                  <a:srgbClr val="A3C4FF">
                    <a:tint val="50000"/>
                    <a:satMod val="300000"/>
                  </a:srgbClr>
                </a:gs>
                <a:gs pos="35000">
                  <a:srgbClr val="BFD5FF">
                    <a:tint val="37000"/>
                    <a:satMod val="300000"/>
                  </a:srgbClr>
                </a:gs>
                <a:gs pos="100000">
                  <a:srgbClr val="E5EEFF">
                    <a:tint val="15000"/>
                    <a:satMod val="350000"/>
                  </a:srgbClr>
                </a:gs>
              </a:gsLst>
              <a:lin ang="16200000" scaled="1"/>
            </a:gradFill>
            <a:ln w="9525" cap="flat" cmpd="sng" algn="ctr">
              <a:solidFill>
                <a:srgbClr val="4D7EB9">
                  <a:shade val="95000"/>
                </a:srgbClr>
              </a:solidFill>
              <a:round/>
            </a:ln>
            <a:effectLst>
              <a:outerShdw blurRad="40000" dist="20000" dir="5400000" rotWithShape="0">
                <a:srgbClr val="000000">
                  <a:alpha val="38000"/>
                </a:srgbClr>
              </a:outerShdw>
            </a:effectLst>
            <a:sp3d contourW="9525">
              <a:contourClr>
                <a:srgbClr val="4D7EB9">
                  <a:shade val="95000"/>
                </a:srgbClr>
              </a:contourClr>
            </a:sp3d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lang="zh-CN" sz="900" b="0" i="0" u="none" strike="noStrike" kern="1200" baseline="0">
                    <a:solidFill>
                      <a:srgbClr val="808080">
                        <a:lumMod val="50000"/>
                        <a:lumOff val="50000"/>
                      </a:srgbClr>
                    </a:solidFill>
                    <a:latin typeface="+mn-lt"/>
                    <a:ea typeface="+mn-ea"/>
                    <a:cs typeface="+mn-cs"/>
                  </a:defRPr>
                </a:pPr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rgbClr val="A6A6A6">
                          <a:lumMod val="35000"/>
                          <a:lumOff val="65000"/>
                        </a:srgbClr>
                      </a:solidFill>
                      <a:prstDash val="solid"/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Sheet1!$F$29</c:f>
              <c:strCache>
                <c:ptCount val="1"/>
                <c:pt idx="0">
                  <c:v>竹产业产值（万元）</c:v>
                </c:pt>
              </c:strCache>
            </c:strRef>
          </c:cat>
          <c:val>
            <c:numRef>
              <c:f>Sheet1!$F$30</c:f>
              <c:numCache>
                <c:formatCode>General</c:formatCode>
                <c:ptCount val="1"/>
                <c:pt idx="0">
                  <c:v>300</c:v>
                </c:pt>
              </c:numCache>
            </c:numRef>
          </c:val>
        </c:ser>
        <c:ser>
          <c:idx val="1"/>
          <c:order val="1"/>
          <c:tx>
            <c:strRef>
              <c:f>Sheet1!$E$31</c:f>
              <c:strCache>
                <c:ptCount val="1"/>
                <c:pt idx="0">
                  <c:v>1992</c:v>
                </c:pt>
              </c:strCache>
            </c:strRef>
          </c:tx>
          <c:spPr>
            <a:gradFill rotWithShape="1">
              <a:gsLst>
                <a:gs pos="0">
                  <a:srgbClr val="FFA2A1">
                    <a:tint val="50000"/>
                    <a:satMod val="300000"/>
                  </a:srgbClr>
                </a:gs>
                <a:gs pos="35000">
                  <a:srgbClr val="FFBEBD">
                    <a:tint val="37000"/>
                    <a:satMod val="300000"/>
                  </a:srgbClr>
                </a:gs>
                <a:gs pos="100000">
                  <a:srgbClr val="FFE5E5">
                    <a:tint val="15000"/>
                    <a:satMod val="350000"/>
                  </a:srgbClr>
                </a:gs>
              </a:gsLst>
              <a:lin ang="16200000" scaled="1"/>
            </a:gradFill>
            <a:ln w="9525" cap="flat" cmpd="sng" algn="ctr">
              <a:solidFill>
                <a:srgbClr val="BC4E4B">
                  <a:shade val="95000"/>
                </a:srgbClr>
              </a:solidFill>
              <a:round/>
            </a:ln>
            <a:effectLst>
              <a:outerShdw blurRad="40000" dist="20000" dir="5400000" rotWithShape="0">
                <a:srgbClr val="000000">
                  <a:alpha val="38000"/>
                </a:srgbClr>
              </a:outerShdw>
            </a:effectLst>
            <a:sp3d contourW="9525">
              <a:contourClr>
                <a:srgbClr val="BC4E4B">
                  <a:shade val="95000"/>
                </a:srgbClr>
              </a:contourClr>
            </a:sp3d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lang="zh-CN" sz="900" b="0" i="0" u="none" strike="noStrike" kern="1200" baseline="0">
                    <a:solidFill>
                      <a:srgbClr val="808080">
                        <a:lumMod val="50000"/>
                        <a:lumOff val="50000"/>
                      </a:srgbClr>
                    </a:solidFill>
                    <a:latin typeface="+mn-lt"/>
                    <a:ea typeface="+mn-ea"/>
                    <a:cs typeface="+mn-cs"/>
                  </a:defRPr>
                </a:pPr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rgbClr val="A6A6A6">
                          <a:lumMod val="35000"/>
                          <a:lumOff val="65000"/>
                        </a:srgbClr>
                      </a:solidFill>
                      <a:prstDash val="solid"/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Sheet1!$F$29</c:f>
              <c:strCache>
                <c:ptCount val="1"/>
                <c:pt idx="0">
                  <c:v>竹产业产值（万元）</c:v>
                </c:pt>
              </c:strCache>
            </c:strRef>
          </c:cat>
          <c:val>
            <c:numRef>
              <c:f>Sheet1!$F$31</c:f>
              <c:numCache>
                <c:formatCode>General</c:formatCode>
                <c:ptCount val="1"/>
                <c:pt idx="0">
                  <c:v>800</c:v>
                </c:pt>
              </c:numCache>
            </c:numRef>
          </c:val>
        </c:ser>
        <c:ser>
          <c:idx val="2"/>
          <c:order val="2"/>
          <c:tx>
            <c:strRef>
              <c:f>Sheet1!$E$32</c:f>
              <c:strCache>
                <c:ptCount val="1"/>
                <c:pt idx="0">
                  <c:v>2000</c:v>
                </c:pt>
              </c:strCache>
            </c:strRef>
          </c:tx>
          <c:spPr>
            <a:gradFill rotWithShape="1">
              <a:gsLst>
                <a:gs pos="0">
                  <a:srgbClr val="DAFDA7">
                    <a:tint val="50000"/>
                    <a:satMod val="300000"/>
                  </a:srgbClr>
                </a:gs>
                <a:gs pos="35000">
                  <a:srgbClr val="E4FDC2">
                    <a:tint val="37000"/>
                    <a:satMod val="300000"/>
                  </a:srgbClr>
                </a:gs>
                <a:gs pos="100000">
                  <a:srgbClr val="F5FFE6">
                    <a:tint val="15000"/>
                    <a:satMod val="350000"/>
                  </a:srgbClr>
                </a:gs>
              </a:gsLst>
              <a:lin ang="16200000" scaled="1"/>
            </a:gradFill>
            <a:ln w="9525" cap="flat" cmpd="sng" algn="ctr">
              <a:solidFill>
                <a:srgbClr val="97B757">
                  <a:shade val="95000"/>
                </a:srgbClr>
              </a:solidFill>
              <a:round/>
            </a:ln>
            <a:effectLst>
              <a:outerShdw blurRad="40000" dist="20000" dir="5400000" rotWithShape="0">
                <a:srgbClr val="000000">
                  <a:alpha val="38000"/>
                </a:srgbClr>
              </a:outerShdw>
            </a:effectLst>
            <a:sp3d contourW="9525">
              <a:contourClr>
                <a:srgbClr val="97B757">
                  <a:shade val="95000"/>
                </a:srgbClr>
              </a:contourClr>
            </a:sp3d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lang="zh-CN" sz="900" b="0" i="0" u="none" strike="noStrike" kern="1200" baseline="0">
                    <a:solidFill>
                      <a:srgbClr val="808080">
                        <a:lumMod val="50000"/>
                        <a:lumOff val="50000"/>
                      </a:srgbClr>
                    </a:solidFill>
                    <a:latin typeface="+mn-lt"/>
                    <a:ea typeface="+mn-ea"/>
                    <a:cs typeface="+mn-cs"/>
                  </a:defRPr>
                </a:pPr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rgbClr val="A6A6A6">
                          <a:lumMod val="35000"/>
                          <a:lumOff val="65000"/>
                        </a:srgbClr>
                      </a:solidFill>
                      <a:prstDash val="solid"/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Sheet1!$F$29</c:f>
              <c:strCache>
                <c:ptCount val="1"/>
                <c:pt idx="0">
                  <c:v>竹产业产值（万元）</c:v>
                </c:pt>
              </c:strCache>
            </c:strRef>
          </c:cat>
          <c:val>
            <c:numRef>
              <c:f>Sheet1!$F$32</c:f>
              <c:numCache>
                <c:formatCode>General</c:formatCode>
                <c:ptCount val="1"/>
                <c:pt idx="0">
                  <c:v>5000</c:v>
                </c:pt>
              </c:numCache>
            </c:numRef>
          </c:val>
        </c:ser>
        <c:ser>
          <c:idx val="3"/>
          <c:order val="3"/>
          <c:tx>
            <c:strRef>
              <c:f>Sheet1!$E$33</c:f>
              <c:strCache>
                <c:ptCount val="1"/>
                <c:pt idx="0">
                  <c:v>2011</c:v>
                </c:pt>
              </c:strCache>
            </c:strRef>
          </c:tx>
          <c:spPr>
            <a:gradFill rotWithShape="1">
              <a:gsLst>
                <a:gs pos="0">
                  <a:srgbClr val="C9B5E8">
                    <a:tint val="50000"/>
                    <a:satMod val="300000"/>
                  </a:srgbClr>
                </a:gs>
                <a:gs pos="35000">
                  <a:srgbClr val="D9CBEE">
                    <a:tint val="37000"/>
                    <a:satMod val="300000"/>
                  </a:srgbClr>
                </a:gs>
                <a:gs pos="100000">
                  <a:srgbClr val="F0EAF9">
                    <a:tint val="15000"/>
                    <a:satMod val="350000"/>
                  </a:srgbClr>
                </a:gs>
              </a:gsLst>
              <a:lin ang="16200000" scaled="1"/>
            </a:gradFill>
            <a:ln w="9525" cap="flat" cmpd="sng" algn="ctr">
              <a:solidFill>
                <a:srgbClr val="7D629E">
                  <a:shade val="95000"/>
                </a:srgbClr>
              </a:solidFill>
              <a:round/>
            </a:ln>
            <a:effectLst>
              <a:outerShdw blurRad="40000" dist="20000" dir="5400000" rotWithShape="0">
                <a:srgbClr val="000000">
                  <a:alpha val="38000"/>
                </a:srgbClr>
              </a:outerShdw>
            </a:effectLst>
            <a:sp3d contourW="9525">
              <a:contourClr>
                <a:srgbClr val="7D629E">
                  <a:shade val="95000"/>
                </a:srgbClr>
              </a:contourClr>
            </a:sp3d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lang="zh-CN" sz="900" b="0" i="0" u="none" strike="noStrike" kern="1200" baseline="0">
                    <a:solidFill>
                      <a:srgbClr val="808080">
                        <a:lumMod val="50000"/>
                        <a:lumOff val="50000"/>
                      </a:srgbClr>
                    </a:solidFill>
                    <a:latin typeface="+mn-lt"/>
                    <a:ea typeface="+mn-ea"/>
                    <a:cs typeface="+mn-cs"/>
                  </a:defRPr>
                </a:pPr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rgbClr val="A6A6A6">
                          <a:lumMod val="35000"/>
                          <a:lumOff val="65000"/>
                        </a:srgbClr>
                      </a:solidFill>
                      <a:prstDash val="solid"/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Sheet1!$F$29</c:f>
              <c:strCache>
                <c:ptCount val="1"/>
                <c:pt idx="0">
                  <c:v>竹产业产值（万元）</c:v>
                </c:pt>
              </c:strCache>
            </c:strRef>
          </c:cat>
          <c:val>
            <c:numRef>
              <c:f>Sheet1!$F$33</c:f>
              <c:numCache>
                <c:formatCode>General</c:formatCode>
                <c:ptCount val="1"/>
                <c:pt idx="0">
                  <c:v>30000</c:v>
                </c:pt>
              </c:numCache>
            </c:numRef>
          </c:val>
        </c:ser>
        <c:ser>
          <c:idx val="4"/>
          <c:order val="4"/>
          <c:tx>
            <c:strRef>
              <c:f>Sheet1!$E$34</c:f>
              <c:strCache>
                <c:ptCount val="1"/>
                <c:pt idx="0">
                  <c:v>2014</c:v>
                </c:pt>
              </c:strCache>
            </c:strRef>
          </c:tx>
          <c:spPr>
            <a:gradFill rotWithShape="1">
              <a:gsLst>
                <a:gs pos="0">
                  <a:srgbClr val="9EEAFF">
                    <a:tint val="50000"/>
                    <a:satMod val="300000"/>
                  </a:srgbClr>
                </a:gs>
                <a:gs pos="35000">
                  <a:srgbClr val="BBEFFF">
                    <a:tint val="37000"/>
                    <a:satMod val="300000"/>
                  </a:srgbClr>
                </a:gs>
                <a:gs pos="100000">
                  <a:srgbClr val="E4F9FF">
                    <a:tint val="15000"/>
                    <a:satMod val="350000"/>
                  </a:srgbClr>
                </a:gs>
              </a:gsLst>
              <a:lin ang="16200000" scaled="1"/>
            </a:gradFill>
            <a:ln w="9525" cap="flat" cmpd="sng" algn="ctr">
              <a:solidFill>
                <a:srgbClr val="49A8C2">
                  <a:shade val="95000"/>
                </a:srgbClr>
              </a:solidFill>
              <a:round/>
            </a:ln>
            <a:effectLst>
              <a:outerShdw blurRad="40000" dist="20000" dir="5400000" rotWithShape="0">
                <a:srgbClr val="000000">
                  <a:alpha val="38000"/>
                </a:srgbClr>
              </a:outerShdw>
            </a:effectLst>
            <a:sp3d contourW="9525">
              <a:contourClr>
                <a:srgbClr val="49A8C2">
                  <a:shade val="95000"/>
                </a:srgbClr>
              </a:contourClr>
            </a:sp3d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lang="zh-CN" sz="900" b="0" i="0" u="none" strike="noStrike" kern="1200" baseline="0">
                    <a:solidFill>
                      <a:srgbClr val="808080">
                        <a:lumMod val="50000"/>
                        <a:lumOff val="50000"/>
                      </a:srgbClr>
                    </a:solidFill>
                    <a:latin typeface="+mn-lt"/>
                    <a:ea typeface="+mn-ea"/>
                    <a:cs typeface="+mn-cs"/>
                  </a:defRPr>
                </a:pPr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rgbClr val="A6A6A6">
                          <a:lumMod val="35000"/>
                          <a:lumOff val="65000"/>
                        </a:srgbClr>
                      </a:solidFill>
                      <a:prstDash val="solid"/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Sheet1!$F$29</c:f>
              <c:strCache>
                <c:ptCount val="1"/>
                <c:pt idx="0">
                  <c:v>竹产业产值（万元）</c:v>
                </c:pt>
              </c:strCache>
            </c:strRef>
          </c:cat>
          <c:val>
            <c:numRef>
              <c:f>Sheet1!$F$34</c:f>
              <c:numCache>
                <c:formatCode>General</c:formatCode>
                <c:ptCount val="1"/>
                <c:pt idx="0">
                  <c:v>180000</c:v>
                </c:pt>
              </c:numCache>
            </c:numRef>
          </c:val>
        </c:ser>
        <c:ser>
          <c:idx val="5"/>
          <c:order val="5"/>
          <c:tx>
            <c:strRef>
              <c:f>Sheet1!$E$35</c:f>
              <c:strCache>
                <c:ptCount val="1"/>
                <c:pt idx="0">
                  <c:v>2020</c:v>
                </c:pt>
              </c:strCache>
            </c:strRef>
          </c:tx>
          <c:spPr>
            <a:gradFill rotWithShape="1">
              <a:gsLst>
                <a:gs pos="0">
                  <a:srgbClr val="FFBE86">
                    <a:tint val="50000"/>
                    <a:satMod val="300000"/>
                  </a:srgbClr>
                </a:gs>
                <a:gs pos="35000">
                  <a:srgbClr val="FFD0AA">
                    <a:tint val="37000"/>
                    <a:satMod val="300000"/>
                  </a:srgbClr>
                </a:gs>
                <a:gs pos="100000">
                  <a:srgbClr val="FFEBDB">
                    <a:tint val="15000"/>
                    <a:satMod val="350000"/>
                  </a:srgbClr>
                </a:gs>
              </a:gsLst>
              <a:lin ang="16200000" scaled="1"/>
            </a:gradFill>
            <a:ln w="9525" cap="flat" cmpd="sng" algn="ctr">
              <a:solidFill>
                <a:srgbClr val="F19344">
                  <a:shade val="95000"/>
                </a:srgbClr>
              </a:solidFill>
              <a:round/>
            </a:ln>
            <a:effectLst>
              <a:outerShdw blurRad="40000" dist="20000" dir="5400000" rotWithShape="0">
                <a:srgbClr val="000000">
                  <a:alpha val="38000"/>
                </a:srgbClr>
              </a:outerShdw>
            </a:effectLst>
            <a:sp3d contourW="9525">
              <a:contourClr>
                <a:srgbClr val="F19344">
                  <a:shade val="95000"/>
                </a:srgbClr>
              </a:contourClr>
            </a:sp3d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lang="zh-CN" sz="900" b="0" i="0" u="none" strike="noStrike" kern="1200" baseline="0">
                    <a:solidFill>
                      <a:srgbClr val="808080">
                        <a:lumMod val="50000"/>
                        <a:lumOff val="50000"/>
                      </a:srgbClr>
                    </a:solidFill>
                    <a:latin typeface="+mn-lt"/>
                    <a:ea typeface="+mn-ea"/>
                    <a:cs typeface="+mn-cs"/>
                  </a:defRPr>
                </a:pPr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rgbClr val="A6A6A6">
                          <a:lumMod val="35000"/>
                          <a:lumOff val="65000"/>
                        </a:srgbClr>
                      </a:solidFill>
                      <a:prstDash val="solid"/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Sheet1!$F$29</c:f>
              <c:strCache>
                <c:ptCount val="1"/>
                <c:pt idx="0">
                  <c:v>竹产业产值（万元）</c:v>
                </c:pt>
              </c:strCache>
            </c:strRef>
          </c:cat>
          <c:val>
            <c:numRef>
              <c:f>Sheet1!$F$35</c:f>
              <c:numCache>
                <c:formatCode>General</c:formatCode>
                <c:ptCount val="1"/>
                <c:pt idx="0">
                  <c:v>500000</c:v>
                </c:pt>
              </c:numCache>
            </c:numRef>
          </c:val>
        </c:ser>
        <c:dLbls>
          <c:showLegendKey val="0"/>
          <c:showVal val="1"/>
          <c:showCatName val="0"/>
          <c:showSerName val="0"/>
          <c:showPercent val="0"/>
          <c:showBubbleSize val="0"/>
        </c:dLbls>
        <c:gapWidth val="150"/>
        <c:axId val="338359808"/>
        <c:axId val="338361344"/>
      </c:barChart>
      <c:catAx>
        <c:axId val="338359808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noFill/>
            <a:prstDash val="solid"/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lang="zh-CN" sz="900" b="0" i="0" u="none" strike="noStrike" kern="1200" baseline="0">
                <a:solidFill>
                  <a:srgbClr val="808080">
                    <a:lumMod val="50000"/>
                    <a:lumOff val="50000"/>
                  </a:srgbClr>
                </a:solidFill>
                <a:latin typeface="+mn-lt"/>
                <a:ea typeface="+mn-ea"/>
                <a:cs typeface="+mn-cs"/>
              </a:defRPr>
            </a:pPr>
          </a:p>
        </c:txPr>
        <c:crossAx val="338361344"/>
        <c:crosses val="autoZero"/>
        <c:auto val="1"/>
        <c:lblAlgn val="ctr"/>
        <c:lblOffset val="100"/>
        <c:noMultiLvlLbl val="0"/>
      </c:catAx>
      <c:valAx>
        <c:axId val="338361344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rgbClr val="D9D9D9">
                  <a:lumMod val="15000"/>
                  <a:lumOff val="85000"/>
                </a:srgbClr>
              </a:solidFill>
              <a:prstDash val="solid"/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noFill/>
            <a:prstDash val="solid"/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lang="zh-CN" sz="900" b="0" i="0" u="none" strike="noStrike" kern="1200" baseline="0">
                <a:solidFill>
                  <a:srgbClr val="808080">
                    <a:lumMod val="50000"/>
                    <a:lumOff val="50000"/>
                  </a:srgbClr>
                </a:solidFill>
                <a:latin typeface="+mn-lt"/>
                <a:ea typeface="+mn-ea"/>
                <a:cs typeface="+mn-cs"/>
              </a:defRPr>
            </a:pPr>
          </a:p>
        </c:txPr>
        <c:crossAx val="338359808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layout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lang="zh-CN" sz="900" b="0" i="0" u="none" strike="noStrike" kern="1200" baseline="0">
              <a:solidFill>
                <a:srgbClr val="808080">
                  <a:lumMod val="50000"/>
                  <a:lumOff val="50000"/>
                </a:srgbClr>
              </a:solidFill>
              <a:latin typeface="+mn-lt"/>
              <a:ea typeface="+mn-ea"/>
              <a:cs typeface="+mn-cs"/>
            </a:defRPr>
          </a:pPr>
        </a:p>
      </c:txPr>
    </c:legend>
    <c:plotVisOnly val="1"/>
    <c:dispBlanksAs val="gap"/>
    <c:showDLblsOverMax val="0"/>
  </c:chart>
  <c:spPr>
    <a:solidFill>
      <a:srgbClr val="FFFFFF"/>
    </a:solidFill>
    <a:ln w="9525" cap="flat" cmpd="sng" algn="ctr">
      <a:solidFill>
        <a:srgbClr val="D9D9D9">
          <a:lumMod val="15000"/>
          <a:lumOff val="85000"/>
        </a:srgbClr>
      </a:solidFill>
      <a:prstDash val="solid"/>
      <a:round/>
    </a:ln>
    <a:effectLst/>
  </c:spPr>
  <c:txPr>
    <a:bodyPr/>
    <a:lstStyle/>
    <a:p>
      <a:pPr>
        <a:defRPr lang="zh-CN"/>
      </a:pPr>
    </a:p>
  </c:txPr>
  <c:externalData r:id="rId1">
    <c:autoUpdate val="0"/>
  </c:externalData>
</c:chartSpace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FE78DDB5-AAEA-453E-A904-7CE941FC82AA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微软中国</Company>
  <Pages>19</Pages>
  <Words>6042</Words>
  <Characters>6231</Characters>
  <Lines>55</Lines>
  <Paragraphs>15</Paragraphs>
  <TotalTime>3</TotalTime>
  <ScaleCrop>false</ScaleCrop>
  <LinksUpToDate>false</LinksUpToDate>
  <CharactersWithSpaces>6314</CharactersWithSpaces>
  <Application>WPS Office_11.1.0.10938_F1E327BC-269C-435d-A152-05C5408002CA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2021-05-19T00:06:00Z</dcterms:created>
  <dc:creator>Administrator</dc:creator>
  <cp:lastModifiedBy>WPS_1528178519</cp:lastModifiedBy>
  <cp:lastPrinted>2021-09-28T02:34:00Z</cp:lastPrinted>
  <dcterms:modified xsi:type="dcterms:W3CDTF">2021-09-28T08:39:16Z</dcterms:modified>
  <dc:title>《基于非遗传承的竹编特色专业创建》</dc:title>
  <cp:revision>141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2052-11.1.0.10938</vt:lpwstr>
  </property>
  <property fmtid="{D5CDD505-2E9C-101B-9397-08002B2CF9AE}" pid="3" name="ICV">
    <vt:lpwstr>D361F879A3F64593AC36FB108A0FBE0C</vt:lpwstr>
  </property>
</Properties>
</file>